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E1" w:rsidRPr="00EB2D2C" w:rsidRDefault="009B676C" w:rsidP="00C62BE1">
      <w:pPr>
        <w:rPr>
          <w:rFonts w:ascii="Tahoma" w:hAnsi="Tahoma" w:cs="Tahoma"/>
          <w:b/>
          <w:sz w:val="28"/>
          <w:szCs w:val="28"/>
          <w:lang w:val="en-GB"/>
        </w:rPr>
      </w:pPr>
      <w:r w:rsidRPr="00EB2D2C">
        <w:rPr>
          <w:rFonts w:ascii="Tahoma" w:hAnsi="Tahoma" w:cs="Tahoma"/>
          <w:b/>
          <w:sz w:val="28"/>
          <w:szCs w:val="28"/>
          <w:lang w:val="en-GB"/>
        </w:rPr>
        <w:t>Guideline</w:t>
      </w:r>
      <w:r w:rsidR="0027034F" w:rsidRPr="00EB2D2C">
        <w:rPr>
          <w:rFonts w:ascii="Tahoma" w:hAnsi="Tahoma" w:cs="Tahoma"/>
          <w:b/>
          <w:sz w:val="28"/>
          <w:szCs w:val="28"/>
          <w:lang w:val="en-GB"/>
        </w:rPr>
        <w:t xml:space="preserve"> </w:t>
      </w:r>
      <w:r w:rsidRPr="00EB2D2C">
        <w:rPr>
          <w:rFonts w:ascii="Tahoma" w:hAnsi="Tahoma" w:cs="Tahoma"/>
          <w:b/>
          <w:sz w:val="28"/>
          <w:szCs w:val="28"/>
          <w:lang w:val="en-GB"/>
        </w:rPr>
        <w:t xml:space="preserve">internship </w:t>
      </w:r>
      <w:r w:rsidR="0027034F" w:rsidRPr="00EB2D2C">
        <w:rPr>
          <w:rFonts w:ascii="Tahoma" w:hAnsi="Tahoma" w:cs="Tahoma"/>
          <w:b/>
          <w:sz w:val="28"/>
          <w:szCs w:val="28"/>
          <w:lang w:val="en-GB"/>
        </w:rPr>
        <w:t xml:space="preserve">contracts and </w:t>
      </w:r>
      <w:r w:rsidR="007077B6">
        <w:rPr>
          <w:rFonts w:ascii="Tahoma" w:hAnsi="Tahoma" w:cs="Tahoma"/>
          <w:b/>
          <w:sz w:val="28"/>
          <w:szCs w:val="28"/>
          <w:lang w:val="en-GB"/>
        </w:rPr>
        <w:t>Non-Disclosure Agreements</w:t>
      </w:r>
      <w:r w:rsidR="00C62BE1" w:rsidRPr="00EB2D2C">
        <w:rPr>
          <w:rFonts w:ascii="Tahoma" w:hAnsi="Tahoma" w:cs="Tahoma"/>
          <w:b/>
          <w:sz w:val="28"/>
          <w:szCs w:val="28"/>
          <w:lang w:val="en-GB"/>
        </w:rPr>
        <w:t xml:space="preserve"> </w:t>
      </w:r>
    </w:p>
    <w:p w:rsidR="00ED04A9" w:rsidRPr="00EB2D2C" w:rsidRDefault="00ED04A9" w:rsidP="00046FE2">
      <w:pPr>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C</w:t>
      </w:r>
      <w:r w:rsidR="009B676C" w:rsidRPr="00EB2D2C">
        <w:rPr>
          <w:rFonts w:ascii="Tahoma" w:hAnsi="Tahoma" w:cs="Tahoma"/>
          <w:color w:val="403152" w:themeColor="accent4" w:themeShade="80"/>
          <w:sz w:val="20"/>
          <w:szCs w:val="20"/>
          <w:lang w:val="en-GB"/>
        </w:rPr>
        <w:t>arefully go through your contract with all points mentioned below in mind</w:t>
      </w:r>
      <w:r w:rsidRPr="00EB2D2C">
        <w:rPr>
          <w:rFonts w:ascii="Tahoma" w:hAnsi="Tahoma" w:cs="Tahoma"/>
          <w:color w:val="403152" w:themeColor="accent4" w:themeShade="80"/>
          <w:sz w:val="20"/>
          <w:szCs w:val="20"/>
          <w:lang w:val="en-GB"/>
        </w:rPr>
        <w:t xml:space="preserve"> whether it is a two or three party agreement</w:t>
      </w:r>
      <w:r w:rsidR="009B676C" w:rsidRPr="00EB2D2C">
        <w:rPr>
          <w:rFonts w:ascii="Tahoma" w:hAnsi="Tahoma" w:cs="Tahoma"/>
          <w:color w:val="403152" w:themeColor="accent4" w:themeShade="80"/>
          <w:sz w:val="20"/>
          <w:szCs w:val="20"/>
          <w:lang w:val="en-GB"/>
        </w:rPr>
        <w:t xml:space="preserve">. </w:t>
      </w:r>
    </w:p>
    <w:p w:rsidR="00ED04A9" w:rsidRPr="00EB2D2C" w:rsidRDefault="00ED04A9" w:rsidP="00ED04A9">
      <w:pPr>
        <w:rPr>
          <w:rFonts w:ascii="Tahoma" w:hAnsi="Tahoma" w:cs="Tahoma"/>
          <w:color w:val="403152" w:themeColor="accent4" w:themeShade="80"/>
          <w:sz w:val="20"/>
          <w:szCs w:val="20"/>
          <w:lang w:val="en-GB"/>
        </w:rPr>
      </w:pPr>
    </w:p>
    <w:p w:rsidR="00ED04A9" w:rsidRPr="00EB2D2C" w:rsidRDefault="00ED04A9" w:rsidP="00ED04A9">
      <w:pPr>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In case of a three-party agreement, please note that the Dean of our Faculty  is the only one mandated to sign a contract as TU Delft representative, even if the company asks for a signature of the TU Delft Internship Coordinator or Supervisor.</w:t>
      </w:r>
    </w:p>
    <w:p w:rsidR="009B676C" w:rsidRPr="00EB2D2C" w:rsidRDefault="009B676C" w:rsidP="00046FE2">
      <w:pPr>
        <w:rPr>
          <w:rFonts w:ascii="Tahoma" w:hAnsi="Tahoma" w:cs="Tahoma"/>
          <w:b/>
          <w:color w:val="403152" w:themeColor="accent4" w:themeShade="80"/>
          <w:sz w:val="20"/>
          <w:szCs w:val="20"/>
          <w:lang w:val="en-GB"/>
        </w:rPr>
      </w:pPr>
      <w:r w:rsidRPr="00EB2D2C">
        <w:rPr>
          <w:rFonts w:ascii="Tahoma" w:hAnsi="Tahoma" w:cs="Tahoma"/>
          <w:color w:val="403152" w:themeColor="accent4" w:themeShade="80"/>
          <w:sz w:val="20"/>
          <w:szCs w:val="20"/>
          <w:lang w:val="en-GB"/>
        </w:rPr>
        <w:t xml:space="preserve">If you notice any paragraphs </w:t>
      </w:r>
      <w:r w:rsidR="00ED04A9" w:rsidRPr="00EB2D2C">
        <w:rPr>
          <w:rFonts w:ascii="Tahoma" w:hAnsi="Tahoma" w:cs="Tahoma"/>
          <w:color w:val="403152" w:themeColor="accent4" w:themeShade="80"/>
          <w:sz w:val="20"/>
          <w:szCs w:val="20"/>
          <w:lang w:val="en-GB"/>
        </w:rPr>
        <w:t xml:space="preserve">or </w:t>
      </w:r>
      <w:r w:rsidRPr="00EB2D2C">
        <w:rPr>
          <w:rFonts w:ascii="Tahoma" w:hAnsi="Tahoma" w:cs="Tahoma"/>
          <w:color w:val="403152" w:themeColor="accent4" w:themeShade="80"/>
          <w:sz w:val="20"/>
          <w:szCs w:val="20"/>
          <w:lang w:val="en-GB"/>
        </w:rPr>
        <w:t>clauses</w:t>
      </w:r>
      <w:r w:rsidR="00ED04A9" w:rsidRPr="00EB2D2C">
        <w:rPr>
          <w:rFonts w:ascii="Tahoma" w:hAnsi="Tahoma" w:cs="Tahoma"/>
          <w:color w:val="403152" w:themeColor="accent4" w:themeShade="80"/>
          <w:sz w:val="20"/>
          <w:szCs w:val="20"/>
          <w:lang w:val="en-GB"/>
        </w:rPr>
        <w:t xml:space="preserve"> contain information we advise against in the guideline below</w:t>
      </w:r>
      <w:r w:rsidRPr="00EB2D2C">
        <w:rPr>
          <w:rFonts w:ascii="Tahoma" w:hAnsi="Tahoma" w:cs="Tahoma"/>
          <w:color w:val="403152" w:themeColor="accent4" w:themeShade="80"/>
          <w:sz w:val="20"/>
          <w:szCs w:val="20"/>
          <w:lang w:val="en-GB"/>
        </w:rPr>
        <w:t xml:space="preserve">, please discuss this with them and get them removed from the contract before you submit the contract to us to have it signed. If these clauses are still in there when we receive the contract, we will not </w:t>
      </w:r>
      <w:r w:rsidR="00ED04A9" w:rsidRPr="00EB2D2C">
        <w:rPr>
          <w:rFonts w:ascii="Tahoma" w:hAnsi="Tahoma" w:cs="Tahoma"/>
          <w:color w:val="403152" w:themeColor="accent4" w:themeShade="80"/>
          <w:sz w:val="20"/>
          <w:szCs w:val="20"/>
          <w:lang w:val="en-GB"/>
        </w:rPr>
        <w:t xml:space="preserve">be able </w:t>
      </w:r>
      <w:r w:rsidRPr="00EB2D2C">
        <w:rPr>
          <w:rFonts w:ascii="Tahoma" w:hAnsi="Tahoma" w:cs="Tahoma"/>
          <w:color w:val="403152" w:themeColor="accent4" w:themeShade="80"/>
          <w:sz w:val="20"/>
          <w:szCs w:val="20"/>
          <w:lang w:val="en-GB"/>
        </w:rPr>
        <w:t xml:space="preserve">provide a signature. </w:t>
      </w:r>
    </w:p>
    <w:p w:rsidR="009439EF" w:rsidRPr="00EB2D2C" w:rsidRDefault="009439EF" w:rsidP="00046FE2">
      <w:pPr>
        <w:rPr>
          <w:rFonts w:ascii="Tahoma" w:hAnsi="Tahoma" w:cs="Tahoma"/>
          <w:b/>
          <w:color w:val="403152" w:themeColor="accent4" w:themeShade="80"/>
          <w:sz w:val="20"/>
          <w:szCs w:val="20"/>
          <w:lang w:val="en-GB"/>
        </w:rPr>
      </w:pPr>
    </w:p>
    <w:tbl>
      <w:tblPr>
        <w:tblStyle w:val="LightList-Accent4"/>
        <w:tblpPr w:leftFromText="141" w:rightFromText="141" w:bottomFromText="155" w:vertAnchor="text"/>
        <w:tblW w:w="10314" w:type="dxa"/>
        <w:tblBorders>
          <w:top w:val="single" w:sz="8" w:space="0" w:color="00B0F0"/>
          <w:left w:val="single" w:sz="8" w:space="0" w:color="00B0F0"/>
          <w:bottom w:val="single" w:sz="8" w:space="0" w:color="00B0F0"/>
          <w:right w:val="single" w:sz="8" w:space="0" w:color="00B0F0"/>
          <w:insideH w:val="single" w:sz="8" w:space="0" w:color="00B0F0"/>
        </w:tblBorders>
        <w:tblLayout w:type="fixed"/>
        <w:tblLook w:val="04A0" w:firstRow="1" w:lastRow="0" w:firstColumn="1" w:lastColumn="0" w:noHBand="0" w:noVBand="1"/>
      </w:tblPr>
      <w:tblGrid>
        <w:gridCol w:w="524"/>
        <w:gridCol w:w="9790"/>
      </w:tblGrid>
      <w:tr w:rsidR="009B676C" w:rsidRPr="00EB2D2C" w:rsidTr="00EB2D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2"/>
            <w:shd w:val="clear" w:color="auto" w:fill="00B0F0"/>
          </w:tcPr>
          <w:p w:rsidR="009B676C" w:rsidRPr="00EB2D2C" w:rsidRDefault="009B676C">
            <w:pPr>
              <w:spacing w:line="276" w:lineRule="auto"/>
              <w:rPr>
                <w:rFonts w:ascii="Tahoma" w:eastAsiaTheme="minorHAnsi" w:hAnsi="Tahoma" w:cs="Tahoma"/>
                <w:b w:val="0"/>
                <w:bCs w:val="0"/>
                <w:sz w:val="20"/>
                <w:szCs w:val="20"/>
                <w:lang w:val="en-GB"/>
              </w:rPr>
            </w:pPr>
            <w:r w:rsidRPr="00EB2D2C">
              <w:rPr>
                <w:rFonts w:ascii="Tahoma" w:hAnsi="Tahoma" w:cs="Tahoma"/>
                <w:sz w:val="20"/>
                <w:szCs w:val="20"/>
                <w:lang w:val="en-GB"/>
              </w:rPr>
              <w:t>What do you need to check</w:t>
            </w:r>
          </w:p>
        </w:tc>
      </w:tr>
      <w:tr w:rsidR="009B676C" w:rsidRPr="00EB2D2C" w:rsidTr="00EB2D2C">
        <w:trPr>
          <w:cnfStyle w:val="000000100000" w:firstRow="0" w:lastRow="0" w:firstColumn="0" w:lastColumn="0" w:oddVBand="0" w:evenVBand="0" w:oddHBand="1" w:evenHBand="0" w:firstRowFirstColumn="0" w:firstRowLastColumn="0" w:lastRowFirstColumn="0" w:lastRowLastColumn="0"/>
        </w:trPr>
        <w:sdt>
          <w:sdtPr>
            <w:rPr>
              <w:rFonts w:ascii="Tahoma" w:hAnsi="Tahoma" w:cs="Tahoma"/>
              <w:color w:val="403152" w:themeColor="accent4" w:themeShade="80"/>
              <w:sz w:val="20"/>
              <w:szCs w:val="20"/>
              <w:lang w:val="en-GB"/>
            </w:rPr>
            <w:id w:val="-10640959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4" w:type="dxa"/>
                <w:tcBorders>
                  <w:top w:val="none" w:sz="0" w:space="0" w:color="auto"/>
                  <w:left w:val="none" w:sz="0" w:space="0" w:color="auto"/>
                  <w:bottom w:val="none" w:sz="0" w:space="0" w:color="auto"/>
                </w:tcBorders>
              </w:tcPr>
              <w:p w:rsidR="009B676C" w:rsidRPr="00EB2D2C" w:rsidRDefault="009B676C" w:rsidP="00046FE2">
                <w:pPr>
                  <w:spacing w:line="276" w:lineRule="auto"/>
                  <w:rPr>
                    <w:rFonts w:ascii="Tahoma" w:hAnsi="Tahoma" w:cs="Tahoma"/>
                    <w:color w:val="403152" w:themeColor="accent4" w:themeShade="80"/>
                    <w:sz w:val="20"/>
                    <w:szCs w:val="20"/>
                    <w:lang w:val="en-GB"/>
                  </w:rPr>
                </w:pPr>
                <w:r w:rsidRPr="00EB2D2C">
                  <w:rPr>
                    <w:rFonts w:ascii="MS UI Gothic" w:eastAsia="MS UI Gothic" w:hAnsi="MS UI Gothic" w:cs="MS UI Gothic" w:hint="eastAsia"/>
                    <w:color w:val="403152" w:themeColor="accent4" w:themeShade="80"/>
                    <w:sz w:val="20"/>
                    <w:szCs w:val="20"/>
                    <w:lang w:val="en-GB"/>
                  </w:rPr>
                  <w:t>☐</w:t>
                </w:r>
              </w:p>
            </w:tc>
          </w:sdtContent>
        </w:sdt>
        <w:tc>
          <w:tcPr>
            <w:tcW w:w="9790" w:type="dxa"/>
            <w:tcBorders>
              <w:top w:val="none" w:sz="0" w:space="0" w:color="auto"/>
              <w:bottom w:val="none" w:sz="0" w:space="0" w:color="auto"/>
              <w:right w:val="none" w:sz="0" w:space="0" w:color="auto"/>
            </w:tcBorders>
            <w:hideMark/>
          </w:tcPr>
          <w:p w:rsidR="009B676C" w:rsidRPr="00EB2D2C" w:rsidRDefault="009B676C" w:rsidP="0027034F">
            <w:pPr>
              <w:cnfStyle w:val="000000100000" w:firstRow="0" w:lastRow="0" w:firstColumn="0" w:lastColumn="0" w:oddVBand="0" w:evenVBand="0" w:oddHBand="1" w:evenHBand="0" w:firstRowFirstColumn="0" w:firstRowLastColumn="0" w:lastRowFirstColumn="0" w:lastRowLastColumn="0"/>
              <w:rPr>
                <w:rFonts w:ascii="Tahoma" w:hAnsi="Tahoma" w:cs="Tahoma"/>
                <w:b/>
                <w:color w:val="403152" w:themeColor="accent4" w:themeShade="80"/>
                <w:sz w:val="20"/>
                <w:szCs w:val="20"/>
                <w:lang w:val="en-GB"/>
              </w:rPr>
            </w:pPr>
            <w:r w:rsidRPr="00EB2D2C">
              <w:rPr>
                <w:rFonts w:ascii="Tahoma" w:hAnsi="Tahoma" w:cs="Tahoma"/>
                <w:b/>
                <w:color w:val="403152" w:themeColor="accent4" w:themeShade="80"/>
                <w:sz w:val="20"/>
                <w:szCs w:val="20"/>
                <w:lang w:val="en-GB"/>
              </w:rPr>
              <w:t>Penalty Clause</w:t>
            </w:r>
          </w:p>
          <w:p w:rsidR="005A1CAB" w:rsidRDefault="009B676C" w:rsidP="005A1CAB">
            <w:pPr>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 xml:space="preserve">Check if a penalty clause included in the contract. This means that if you break any of the binding agreements in the contract, such as the confidentiality, the company will be authorised to impose a fine of x euros without intervention of the courts. According to TU Delft policy, this is unreasonable </w:t>
            </w:r>
            <w:r w:rsidR="005A1CAB" w:rsidRPr="00EB2D2C">
              <w:rPr>
                <w:rFonts w:ascii="Tahoma" w:hAnsi="Tahoma" w:cs="Tahoma"/>
                <w:color w:val="403152" w:themeColor="accent4" w:themeShade="80"/>
                <w:sz w:val="20"/>
                <w:szCs w:val="20"/>
                <w:lang w:val="en-GB"/>
              </w:rPr>
              <w:t xml:space="preserve">and negotiable. </w:t>
            </w:r>
            <w:r w:rsidRPr="00EB2D2C">
              <w:rPr>
                <w:rFonts w:ascii="Tahoma" w:hAnsi="Tahoma" w:cs="Tahoma"/>
                <w:color w:val="403152" w:themeColor="accent4" w:themeShade="80"/>
                <w:sz w:val="20"/>
                <w:szCs w:val="20"/>
                <w:lang w:val="en-GB"/>
              </w:rPr>
              <w:t xml:space="preserve">If you </w:t>
            </w:r>
            <w:r w:rsidR="005A1CAB" w:rsidRPr="00EB2D2C">
              <w:rPr>
                <w:rFonts w:ascii="Tahoma" w:hAnsi="Tahoma" w:cs="Tahoma"/>
                <w:color w:val="403152" w:themeColor="accent4" w:themeShade="80"/>
                <w:sz w:val="20"/>
                <w:szCs w:val="20"/>
                <w:lang w:val="en-GB"/>
              </w:rPr>
              <w:t>decide to</w:t>
            </w:r>
            <w:r w:rsidRPr="00EB2D2C">
              <w:rPr>
                <w:rFonts w:ascii="Tahoma" w:hAnsi="Tahoma" w:cs="Tahoma"/>
                <w:color w:val="403152" w:themeColor="accent4" w:themeShade="80"/>
                <w:sz w:val="20"/>
                <w:szCs w:val="20"/>
                <w:lang w:val="en-GB"/>
              </w:rPr>
              <w:t xml:space="preserve"> sign the contract </w:t>
            </w:r>
            <w:r w:rsidR="005A1CAB" w:rsidRPr="00EB2D2C">
              <w:rPr>
                <w:rFonts w:ascii="Tahoma" w:hAnsi="Tahoma" w:cs="Tahoma"/>
                <w:color w:val="403152" w:themeColor="accent4" w:themeShade="80"/>
                <w:sz w:val="20"/>
                <w:szCs w:val="20"/>
                <w:lang w:val="en-GB"/>
              </w:rPr>
              <w:t xml:space="preserve">despite the clause, </w:t>
            </w:r>
            <w:r w:rsidRPr="00EB2D2C">
              <w:rPr>
                <w:rFonts w:ascii="Tahoma" w:hAnsi="Tahoma" w:cs="Tahoma"/>
                <w:color w:val="403152" w:themeColor="accent4" w:themeShade="80"/>
                <w:sz w:val="20"/>
                <w:szCs w:val="20"/>
                <w:lang w:val="en-GB"/>
              </w:rPr>
              <w:t>you will be doing so at your own risk.</w:t>
            </w:r>
          </w:p>
          <w:p w:rsidR="00EB2D2C" w:rsidRPr="00EB2D2C" w:rsidRDefault="00EB2D2C" w:rsidP="005A1CAB">
            <w:pPr>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p>
        </w:tc>
      </w:tr>
      <w:tr w:rsidR="009B676C" w:rsidRPr="00EB2D2C" w:rsidTr="00EB2D2C">
        <w:sdt>
          <w:sdtPr>
            <w:rPr>
              <w:rFonts w:ascii="Tahoma" w:eastAsiaTheme="minorHAnsi" w:hAnsi="Tahoma" w:cs="Tahoma"/>
              <w:color w:val="403152" w:themeColor="accent4" w:themeShade="80"/>
              <w:sz w:val="20"/>
              <w:szCs w:val="20"/>
              <w:lang w:val="en-GB"/>
            </w:rPr>
            <w:id w:val="20506489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4" w:type="dxa"/>
              </w:tcPr>
              <w:p w:rsidR="009B676C" w:rsidRPr="00EB2D2C" w:rsidRDefault="009B676C">
                <w:pPr>
                  <w:spacing w:line="276" w:lineRule="auto"/>
                  <w:rPr>
                    <w:rFonts w:ascii="Tahoma" w:eastAsiaTheme="minorHAnsi" w:hAnsi="Tahoma" w:cs="Tahoma"/>
                    <w:color w:val="403152" w:themeColor="accent4" w:themeShade="80"/>
                    <w:sz w:val="20"/>
                    <w:szCs w:val="20"/>
                    <w:lang w:val="en-GB"/>
                  </w:rPr>
                </w:pPr>
                <w:r w:rsidRPr="00EB2D2C">
                  <w:rPr>
                    <w:rFonts w:ascii="MS UI Gothic" w:eastAsia="MS UI Gothic" w:hAnsi="MS UI Gothic" w:cs="MS UI Gothic" w:hint="eastAsia"/>
                    <w:color w:val="403152" w:themeColor="accent4" w:themeShade="80"/>
                    <w:sz w:val="20"/>
                    <w:szCs w:val="20"/>
                    <w:lang w:val="en-GB"/>
                  </w:rPr>
                  <w:t>☐</w:t>
                </w:r>
              </w:p>
            </w:tc>
          </w:sdtContent>
        </w:sdt>
        <w:tc>
          <w:tcPr>
            <w:tcW w:w="9790" w:type="dxa"/>
          </w:tcPr>
          <w:p w:rsidR="009B676C" w:rsidRPr="00EB2D2C" w:rsidRDefault="009B676C" w:rsidP="0027034F">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b/>
                <w:color w:val="403152" w:themeColor="accent4" w:themeShade="80"/>
                <w:sz w:val="20"/>
                <w:szCs w:val="20"/>
                <w:lang w:val="en-GB"/>
              </w:rPr>
            </w:pPr>
            <w:r w:rsidRPr="00EB2D2C">
              <w:rPr>
                <w:rFonts w:ascii="Tahoma" w:eastAsiaTheme="minorHAnsi" w:hAnsi="Tahoma" w:cs="Tahoma"/>
                <w:b/>
                <w:color w:val="403152" w:themeColor="accent4" w:themeShade="80"/>
                <w:sz w:val="20"/>
                <w:szCs w:val="20"/>
                <w:lang w:val="en-GB"/>
              </w:rPr>
              <w:t>Confidentiality</w:t>
            </w:r>
          </w:p>
          <w:p w:rsidR="007077B6" w:rsidRPr="007077B6" w:rsidRDefault="005A1CAB" w:rsidP="007077B6">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403152" w:themeColor="accent4" w:themeShade="80"/>
                <w:sz w:val="20"/>
                <w:szCs w:val="20"/>
                <w:lang w:val="en-GB"/>
              </w:rPr>
            </w:pPr>
            <w:r w:rsidRPr="00EB2D2C">
              <w:rPr>
                <w:rFonts w:ascii="Tahoma" w:eastAsiaTheme="minorHAnsi" w:hAnsi="Tahoma" w:cs="Tahoma"/>
                <w:color w:val="403152" w:themeColor="accent4" w:themeShade="80"/>
                <w:sz w:val="20"/>
                <w:szCs w:val="20"/>
                <w:lang w:val="en-GB"/>
              </w:rPr>
              <w:t>The c</w:t>
            </w:r>
            <w:r w:rsidR="009B676C" w:rsidRPr="00EB2D2C">
              <w:rPr>
                <w:rFonts w:ascii="Tahoma" w:eastAsiaTheme="minorHAnsi" w:hAnsi="Tahoma" w:cs="Tahoma"/>
                <w:color w:val="403152" w:themeColor="accent4" w:themeShade="80"/>
                <w:sz w:val="20"/>
                <w:szCs w:val="20"/>
                <w:lang w:val="en-GB"/>
              </w:rPr>
              <w:t xml:space="preserve">onfidentiality of the internship project needs to be taken very seriously. However, do bear in mind that </w:t>
            </w:r>
            <w:r w:rsidR="007077B6">
              <w:t xml:space="preserve"> </w:t>
            </w:r>
            <w:r w:rsidR="007077B6" w:rsidRPr="007077B6">
              <w:rPr>
                <w:rFonts w:ascii="Tahoma" w:eastAsiaTheme="minorHAnsi" w:hAnsi="Tahoma" w:cs="Tahoma"/>
                <w:color w:val="403152" w:themeColor="accent4" w:themeShade="80"/>
                <w:sz w:val="20"/>
                <w:szCs w:val="20"/>
                <w:lang w:val="en-GB"/>
              </w:rPr>
              <w:t xml:space="preserve">it should also be clear to you which information you are required to keep confidential  - and which not - and for how long. Hence it’s in your own interest if any information, intellectual property or samples you receive from the internship provider during and for purpose of the internship are clearly marked as "Confidential Information" or “Proprietary  Information”. </w:t>
            </w:r>
          </w:p>
          <w:p w:rsidR="007077B6" w:rsidRPr="007077B6" w:rsidRDefault="007077B6" w:rsidP="007077B6">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403152" w:themeColor="accent4" w:themeShade="80"/>
                <w:sz w:val="20"/>
                <w:szCs w:val="20"/>
                <w:lang w:val="en-GB"/>
              </w:rPr>
            </w:pPr>
            <w:r w:rsidRPr="007077B6">
              <w:rPr>
                <w:rFonts w:ascii="Tahoma" w:eastAsiaTheme="minorHAnsi" w:hAnsi="Tahoma" w:cs="Tahoma"/>
                <w:color w:val="403152" w:themeColor="accent4" w:themeShade="80"/>
                <w:sz w:val="20"/>
                <w:szCs w:val="20"/>
                <w:lang w:val="en-GB"/>
              </w:rPr>
              <w:t>In addition the internship provider may also want you to keep confidential (all or part of) the information and intellectual property you (co-)generate yourself during the internship (including the internship report(s)).</w:t>
            </w:r>
          </w:p>
          <w:p w:rsidR="007077B6" w:rsidRPr="007077B6" w:rsidRDefault="007077B6" w:rsidP="007077B6">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403152" w:themeColor="accent4" w:themeShade="80"/>
                <w:sz w:val="20"/>
                <w:szCs w:val="20"/>
                <w:lang w:val="en-GB"/>
              </w:rPr>
            </w:pPr>
          </w:p>
          <w:p w:rsidR="007077B6" w:rsidRPr="007077B6" w:rsidRDefault="007077B6" w:rsidP="007077B6">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403152" w:themeColor="accent4" w:themeShade="80"/>
                <w:sz w:val="20"/>
                <w:szCs w:val="20"/>
                <w:lang w:val="en-GB"/>
              </w:rPr>
            </w:pPr>
            <w:r w:rsidRPr="007077B6">
              <w:rPr>
                <w:rFonts w:ascii="Tahoma" w:eastAsiaTheme="minorHAnsi" w:hAnsi="Tahoma" w:cs="Tahoma"/>
                <w:color w:val="403152" w:themeColor="accent4" w:themeShade="80"/>
                <w:sz w:val="20"/>
                <w:szCs w:val="20"/>
                <w:lang w:val="en-GB"/>
              </w:rPr>
              <w:t>The obligation to keep the internship provider’s Confidential or Proprietary Information confidential should be limited in time. A limited duration of 3 or 5 years after the end of the internship is reasonable.</w:t>
            </w:r>
          </w:p>
          <w:p w:rsidR="009B676C" w:rsidRDefault="00403077" w:rsidP="007077B6">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403152" w:themeColor="accent4" w:themeShade="80"/>
                <w:sz w:val="20"/>
                <w:szCs w:val="20"/>
                <w:lang w:val="en-GB"/>
              </w:rPr>
            </w:pPr>
            <w:r>
              <w:rPr>
                <w:rFonts w:ascii="Tahoma" w:eastAsiaTheme="minorHAnsi" w:hAnsi="Tahoma" w:cs="Tahoma"/>
                <w:color w:val="403152" w:themeColor="accent4" w:themeShade="80"/>
                <w:sz w:val="20"/>
                <w:szCs w:val="20"/>
                <w:lang w:val="en-GB"/>
              </w:rPr>
              <w:t>T</w:t>
            </w:r>
            <w:r w:rsidR="007077B6" w:rsidRPr="007077B6">
              <w:rPr>
                <w:rFonts w:ascii="Tahoma" w:eastAsiaTheme="minorHAnsi" w:hAnsi="Tahoma" w:cs="Tahoma"/>
                <w:color w:val="403152" w:themeColor="accent4" w:themeShade="80"/>
                <w:sz w:val="20"/>
                <w:szCs w:val="20"/>
                <w:lang w:val="en-GB"/>
              </w:rPr>
              <w:t>his confidentiality is to a certain extent limited in terms of scope (only including information that arises from the project) and in time (no longer than 1-3 year(s)).</w:t>
            </w:r>
          </w:p>
          <w:p w:rsidR="007077B6" w:rsidRDefault="007077B6" w:rsidP="007077B6">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403152" w:themeColor="accent4" w:themeShade="80"/>
                <w:sz w:val="20"/>
                <w:szCs w:val="20"/>
                <w:lang w:val="en-GB"/>
              </w:rPr>
            </w:pPr>
          </w:p>
          <w:p w:rsidR="007077B6" w:rsidRPr="007077B6" w:rsidRDefault="007077B6" w:rsidP="007077B6">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b/>
                <w:color w:val="403152" w:themeColor="accent4" w:themeShade="80"/>
                <w:sz w:val="20"/>
                <w:szCs w:val="20"/>
                <w:lang w:val="en-GB"/>
              </w:rPr>
            </w:pPr>
            <w:r w:rsidRPr="007077B6">
              <w:rPr>
                <w:rFonts w:ascii="Tahoma" w:eastAsiaTheme="minorHAnsi" w:hAnsi="Tahoma" w:cs="Tahoma"/>
                <w:b/>
                <w:color w:val="403152" w:themeColor="accent4" w:themeShade="80"/>
                <w:sz w:val="20"/>
                <w:szCs w:val="20"/>
                <w:lang w:val="en-GB"/>
              </w:rPr>
              <w:t xml:space="preserve">Non-Competition and Non-sollicitation </w:t>
            </w:r>
          </w:p>
          <w:p w:rsidR="007077B6" w:rsidRPr="007077B6" w:rsidRDefault="007077B6" w:rsidP="007077B6">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403152" w:themeColor="accent4" w:themeShade="80"/>
                <w:sz w:val="20"/>
                <w:szCs w:val="20"/>
                <w:lang w:val="en-GB"/>
              </w:rPr>
            </w:pPr>
            <w:r w:rsidRPr="007077B6">
              <w:rPr>
                <w:rFonts w:ascii="Tahoma" w:eastAsiaTheme="minorHAnsi" w:hAnsi="Tahoma" w:cs="Tahoma"/>
                <w:color w:val="403152" w:themeColor="accent4" w:themeShade="80"/>
                <w:sz w:val="20"/>
                <w:szCs w:val="20"/>
                <w:lang w:val="en-GB"/>
              </w:rPr>
              <w:t xml:space="preserve">Closely related to confidentiality are non-competition and non-sollicitation. In nowadays highly knowledge intensive society, some companies may have concerns that during or shortly after your internship with them you may – with the commercially sensitive knowledge you obtained during your internship - engage into very similar activities, through employment or otherwise, that are directly competing with your former internship provider. </w:t>
            </w:r>
          </w:p>
          <w:p w:rsidR="007077B6" w:rsidRPr="007077B6" w:rsidRDefault="007077B6" w:rsidP="007077B6">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403152" w:themeColor="accent4" w:themeShade="80"/>
                <w:sz w:val="20"/>
                <w:szCs w:val="20"/>
                <w:lang w:val="en-GB"/>
              </w:rPr>
            </w:pPr>
            <w:r w:rsidRPr="007077B6">
              <w:rPr>
                <w:rFonts w:ascii="Tahoma" w:eastAsiaTheme="minorHAnsi" w:hAnsi="Tahoma" w:cs="Tahoma"/>
                <w:color w:val="403152" w:themeColor="accent4" w:themeShade="80"/>
                <w:sz w:val="20"/>
                <w:szCs w:val="20"/>
                <w:lang w:val="en-GB"/>
              </w:rPr>
              <w:t xml:space="preserve">Some internship providers may therefor include clauses in their contracts to prevent this to happen. An obligation not to engage in any such directly competing activities during the internship and including the subsequent year, can be part of such contract. </w:t>
            </w:r>
          </w:p>
          <w:p w:rsidR="007077B6" w:rsidRPr="007077B6" w:rsidRDefault="007077B6" w:rsidP="007077B6">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403152" w:themeColor="accent4" w:themeShade="80"/>
                <w:sz w:val="20"/>
                <w:szCs w:val="20"/>
                <w:lang w:val="en-GB"/>
              </w:rPr>
            </w:pPr>
          </w:p>
          <w:p w:rsidR="007077B6" w:rsidRPr="007077B6" w:rsidRDefault="007077B6" w:rsidP="007077B6">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403152" w:themeColor="accent4" w:themeShade="80"/>
                <w:sz w:val="20"/>
                <w:szCs w:val="20"/>
                <w:lang w:val="en-GB"/>
              </w:rPr>
            </w:pPr>
            <w:r w:rsidRPr="007077B6">
              <w:rPr>
                <w:rFonts w:ascii="Tahoma" w:eastAsiaTheme="minorHAnsi" w:hAnsi="Tahoma" w:cs="Tahoma"/>
                <w:color w:val="403152" w:themeColor="accent4" w:themeShade="80"/>
                <w:sz w:val="20"/>
                <w:szCs w:val="20"/>
                <w:lang w:val="en-GB"/>
              </w:rPr>
              <w:t>Always be aware that you have a right to find in job within the field of you studies.</w:t>
            </w:r>
          </w:p>
          <w:p w:rsidR="007077B6" w:rsidRPr="00EB2D2C" w:rsidRDefault="007077B6" w:rsidP="007077B6">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403152" w:themeColor="accent4" w:themeShade="80"/>
                <w:sz w:val="20"/>
                <w:szCs w:val="20"/>
                <w:lang w:val="en-GB"/>
              </w:rPr>
            </w:pPr>
            <w:r w:rsidRPr="007077B6">
              <w:rPr>
                <w:rFonts w:ascii="Tahoma" w:eastAsiaTheme="minorHAnsi" w:hAnsi="Tahoma" w:cs="Tahoma"/>
                <w:color w:val="403152" w:themeColor="accent4" w:themeShade="80"/>
                <w:sz w:val="20"/>
                <w:szCs w:val="20"/>
                <w:lang w:val="en-GB"/>
              </w:rPr>
              <w:t>Note that you can always ask your former internship provider to give its consent if you find a job at a direct competitor of your  former internship provider and which is on the same technical subject. Your former internship provider must then be able to demonstrate that its commercial interests are or could be severely damaged by any employment at a direct competitor.</w:t>
            </w:r>
          </w:p>
          <w:p w:rsidR="005A1CAB" w:rsidRDefault="005A1CAB" w:rsidP="005A1CAB">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403152" w:themeColor="accent4" w:themeShade="80"/>
                <w:sz w:val="20"/>
                <w:szCs w:val="20"/>
                <w:lang w:val="en-GB"/>
              </w:rPr>
            </w:pPr>
          </w:p>
          <w:p w:rsidR="007077B6" w:rsidRPr="00EB2D2C" w:rsidRDefault="007077B6" w:rsidP="005A1CAB">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403152" w:themeColor="accent4" w:themeShade="80"/>
                <w:sz w:val="20"/>
                <w:szCs w:val="20"/>
                <w:lang w:val="en-GB"/>
              </w:rPr>
            </w:pPr>
          </w:p>
          <w:p w:rsidR="005A1CAB" w:rsidRPr="00EB2D2C" w:rsidRDefault="005A1CAB" w:rsidP="005A1CAB">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403152" w:themeColor="accent4" w:themeShade="80"/>
                <w:sz w:val="20"/>
                <w:szCs w:val="20"/>
                <w:lang w:val="en-GB"/>
              </w:rPr>
            </w:pPr>
            <w:r w:rsidRPr="00EB2D2C">
              <w:rPr>
                <w:rFonts w:ascii="Tahoma" w:hAnsi="Tahoma" w:cs="Tahoma"/>
                <w:b/>
                <w:color w:val="403152" w:themeColor="accent4" w:themeShade="80"/>
                <w:sz w:val="20"/>
                <w:szCs w:val="20"/>
                <w:lang w:val="en-GB"/>
              </w:rPr>
              <w:lastRenderedPageBreak/>
              <w:t>Reporting</w:t>
            </w:r>
          </w:p>
          <w:p w:rsidR="00785F61" w:rsidRPr="00EB2D2C" w:rsidRDefault="005A1CAB" w:rsidP="005A1CAB">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 xml:space="preserve">If a company asks for confidentiality, the University will respect this confidentiality; we are well accustomed to treating not only our own research but also that of our industrial partners with the necessary care and caution. </w:t>
            </w:r>
          </w:p>
          <w:p w:rsidR="00785F61" w:rsidRPr="00EB2D2C" w:rsidRDefault="005A1CAB" w:rsidP="005A1CAB">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 xml:space="preserve">However, </w:t>
            </w:r>
            <w:r w:rsidR="00785F61" w:rsidRPr="00EB2D2C">
              <w:rPr>
                <w:rFonts w:ascii="Tahoma" w:hAnsi="Tahoma" w:cs="Tahoma"/>
                <w:color w:val="403152" w:themeColor="accent4" w:themeShade="80"/>
                <w:sz w:val="20"/>
                <w:szCs w:val="20"/>
                <w:lang w:val="en-GB"/>
              </w:rPr>
              <w:t xml:space="preserve">you are obligated to submit your internship report to the Internship Office-TNW. Without a report, you will not receive a mark. </w:t>
            </w:r>
            <w:r w:rsidRPr="00EB2D2C">
              <w:rPr>
                <w:rFonts w:ascii="Tahoma" w:hAnsi="Tahoma" w:cs="Tahoma"/>
                <w:color w:val="403152" w:themeColor="accent4" w:themeShade="80"/>
                <w:sz w:val="20"/>
                <w:szCs w:val="20"/>
                <w:lang w:val="en-GB"/>
              </w:rPr>
              <w:t xml:space="preserve">The Internship Office stores all reports in a secure place and will not make them publicly available. When the nature of the project requires so, </w:t>
            </w:r>
            <w:r w:rsidR="007077B6">
              <w:t xml:space="preserve"> </w:t>
            </w:r>
            <w:r w:rsidR="007077B6" w:rsidRPr="007077B6">
              <w:rPr>
                <w:rFonts w:ascii="Tahoma" w:hAnsi="Tahoma" w:cs="Tahoma"/>
                <w:color w:val="403152" w:themeColor="accent4" w:themeShade="80"/>
                <w:sz w:val="20"/>
                <w:szCs w:val="20"/>
                <w:lang w:val="en-GB"/>
              </w:rPr>
              <w:t xml:space="preserve">the internship provider is </w:t>
            </w:r>
            <w:r w:rsidRPr="00EB2D2C">
              <w:rPr>
                <w:rFonts w:ascii="Tahoma" w:hAnsi="Tahoma" w:cs="Tahoma"/>
                <w:color w:val="403152" w:themeColor="accent4" w:themeShade="80"/>
                <w:sz w:val="20"/>
                <w:szCs w:val="20"/>
                <w:lang w:val="en-GB"/>
              </w:rPr>
              <w:t xml:space="preserve">allowed to censor parts of the report. </w:t>
            </w:r>
            <w:r w:rsidR="007077B6">
              <w:t xml:space="preserve"> </w:t>
            </w:r>
            <w:r w:rsidR="007077B6" w:rsidRPr="007077B6">
              <w:rPr>
                <w:rFonts w:ascii="Tahoma" w:hAnsi="Tahoma" w:cs="Tahoma"/>
                <w:color w:val="403152" w:themeColor="accent4" w:themeShade="80"/>
                <w:sz w:val="20"/>
                <w:szCs w:val="20"/>
                <w:lang w:val="en-GB"/>
              </w:rPr>
              <w:t xml:space="preserve">The internship provider’s Confidential or Proprietary Information and/or </w:t>
            </w:r>
            <w:r w:rsidR="007077B6">
              <w:rPr>
                <w:rFonts w:ascii="Tahoma" w:hAnsi="Tahoma" w:cs="Tahoma"/>
                <w:color w:val="403152" w:themeColor="accent4" w:themeShade="80"/>
                <w:sz w:val="20"/>
                <w:szCs w:val="20"/>
                <w:lang w:val="en-GB"/>
              </w:rPr>
              <w:t>d</w:t>
            </w:r>
            <w:r w:rsidRPr="00EB2D2C">
              <w:rPr>
                <w:rFonts w:ascii="Tahoma" w:hAnsi="Tahoma" w:cs="Tahoma"/>
                <w:color w:val="403152" w:themeColor="accent4" w:themeShade="80"/>
                <w:sz w:val="20"/>
                <w:szCs w:val="20"/>
                <w:lang w:val="en-GB"/>
              </w:rPr>
              <w:t>etails like numbers and names may be left out (or striked through) of the report,</w:t>
            </w:r>
            <w:r w:rsidR="00785F61" w:rsidRPr="00EB2D2C">
              <w:rPr>
                <w:rFonts w:ascii="Tahoma" w:hAnsi="Tahoma" w:cs="Tahoma"/>
                <w:color w:val="403152" w:themeColor="accent4" w:themeShade="80"/>
                <w:sz w:val="20"/>
                <w:szCs w:val="20"/>
                <w:lang w:val="en-GB"/>
              </w:rPr>
              <w:t xml:space="preserve"> a</w:t>
            </w:r>
            <w:r w:rsidRPr="00EB2D2C">
              <w:rPr>
                <w:rFonts w:ascii="Tahoma" w:hAnsi="Tahoma" w:cs="Tahoma"/>
                <w:color w:val="403152" w:themeColor="accent4" w:themeShade="80"/>
                <w:sz w:val="20"/>
                <w:szCs w:val="20"/>
                <w:lang w:val="en-GB"/>
              </w:rPr>
              <w:t xml:space="preserve">s long as the report maintains an overview of the proceedings of the project. </w:t>
            </w:r>
          </w:p>
          <w:p w:rsidR="00785F61" w:rsidRPr="00EB2D2C" w:rsidRDefault="00785F61" w:rsidP="00785F61">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403152" w:themeColor="accent4" w:themeShade="80"/>
                <w:sz w:val="20"/>
                <w:szCs w:val="20"/>
                <w:lang w:val="en-GB"/>
              </w:rPr>
            </w:pPr>
          </w:p>
          <w:p w:rsidR="00785F61" w:rsidRPr="00EB2D2C" w:rsidRDefault="00785F61" w:rsidP="00785F61">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 xml:space="preserve">Depending on the contract, in some cases you may therefore need </w:t>
            </w:r>
            <w:r w:rsidR="007077B6">
              <w:rPr>
                <w:rFonts w:ascii="Tahoma" w:hAnsi="Tahoma" w:cs="Tahoma"/>
                <w:color w:val="403152" w:themeColor="accent4" w:themeShade="80"/>
                <w:sz w:val="20"/>
                <w:szCs w:val="20"/>
                <w:lang w:val="en-GB"/>
              </w:rPr>
              <w:t xml:space="preserve">prior </w:t>
            </w:r>
            <w:r w:rsidRPr="00EB2D2C">
              <w:rPr>
                <w:rFonts w:ascii="Tahoma" w:hAnsi="Tahoma" w:cs="Tahoma"/>
                <w:color w:val="403152" w:themeColor="accent4" w:themeShade="80"/>
                <w:sz w:val="20"/>
                <w:szCs w:val="20"/>
                <w:lang w:val="en-GB"/>
              </w:rPr>
              <w:t>written permission before you submit the report to the Internship Office. You should organise this in writing (possibly in the form of an e-mail with confirmation from your internship supervisor) before the start of your internship.</w:t>
            </w:r>
            <w:r w:rsidR="007077B6">
              <w:rPr>
                <w:rFonts w:ascii="Tahoma" w:hAnsi="Tahoma" w:cs="Tahoma"/>
                <w:color w:val="403152" w:themeColor="accent4" w:themeShade="80"/>
                <w:sz w:val="20"/>
                <w:szCs w:val="20"/>
                <w:lang w:val="en-GB"/>
              </w:rPr>
              <w:t xml:space="preserve"> </w:t>
            </w:r>
            <w:r w:rsidR="007077B6">
              <w:t xml:space="preserve"> </w:t>
            </w:r>
            <w:r w:rsidR="007077B6" w:rsidRPr="007077B6">
              <w:rPr>
                <w:rFonts w:ascii="Tahoma" w:hAnsi="Tahoma" w:cs="Tahoma"/>
                <w:color w:val="403152" w:themeColor="accent4" w:themeShade="80"/>
                <w:sz w:val="20"/>
                <w:szCs w:val="20"/>
                <w:lang w:val="en-GB"/>
              </w:rPr>
              <w:t>In addition you may not be allowed to publish your internship report(s) in whole or in part, without the prior written approval of your internship provider.</w:t>
            </w:r>
          </w:p>
          <w:p w:rsidR="00785F61" w:rsidRPr="00EB2D2C" w:rsidRDefault="00785F61" w:rsidP="00785F61">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403152" w:themeColor="accent4" w:themeShade="80"/>
                <w:sz w:val="20"/>
                <w:szCs w:val="20"/>
                <w:lang w:val="en-GB"/>
              </w:rPr>
            </w:pPr>
          </w:p>
          <w:p w:rsidR="00785F61" w:rsidRPr="00EB2D2C" w:rsidRDefault="005A1CAB" w:rsidP="005A1CAB">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 xml:space="preserve">In addition and if desired, we can also provide an additional written statement signed by the Dean, confirming that the </w:t>
            </w:r>
            <w:r w:rsidR="00785F61" w:rsidRPr="00EB2D2C">
              <w:rPr>
                <w:rFonts w:ascii="Tahoma" w:hAnsi="Tahoma" w:cs="Tahoma"/>
                <w:color w:val="403152" w:themeColor="accent4" w:themeShade="80"/>
                <w:sz w:val="20"/>
                <w:szCs w:val="20"/>
                <w:lang w:val="en-GB"/>
              </w:rPr>
              <w:t>F</w:t>
            </w:r>
            <w:r w:rsidRPr="00EB2D2C">
              <w:rPr>
                <w:rFonts w:ascii="Tahoma" w:hAnsi="Tahoma" w:cs="Tahoma"/>
                <w:color w:val="403152" w:themeColor="accent4" w:themeShade="80"/>
                <w:sz w:val="20"/>
                <w:szCs w:val="20"/>
                <w:lang w:val="en-GB"/>
              </w:rPr>
              <w:t xml:space="preserve">aculty </w:t>
            </w:r>
            <w:r w:rsidR="00785F61" w:rsidRPr="00EB2D2C">
              <w:rPr>
                <w:rFonts w:ascii="Tahoma" w:hAnsi="Tahoma" w:cs="Tahoma"/>
                <w:color w:val="403152" w:themeColor="accent4" w:themeShade="80"/>
                <w:sz w:val="20"/>
                <w:szCs w:val="20"/>
                <w:lang w:val="en-GB"/>
              </w:rPr>
              <w:t xml:space="preserve">of Applied Sciences </w:t>
            </w:r>
            <w:r w:rsidRPr="00EB2D2C">
              <w:rPr>
                <w:rFonts w:ascii="Tahoma" w:hAnsi="Tahoma" w:cs="Tahoma"/>
                <w:color w:val="403152" w:themeColor="accent4" w:themeShade="80"/>
                <w:sz w:val="20"/>
                <w:szCs w:val="20"/>
                <w:lang w:val="en-GB"/>
              </w:rPr>
              <w:t xml:space="preserve">will observe confidentiality with regard to the project and the report. You can find more details on </w:t>
            </w:r>
            <w:r w:rsidR="00785F61" w:rsidRPr="00EB2D2C">
              <w:rPr>
                <w:rFonts w:ascii="Tahoma" w:hAnsi="Tahoma" w:cs="Tahoma"/>
                <w:color w:val="403152" w:themeColor="accent4" w:themeShade="80"/>
                <w:sz w:val="20"/>
                <w:szCs w:val="20"/>
                <w:lang w:val="en-GB"/>
              </w:rPr>
              <w:t xml:space="preserve">the Internship Office </w:t>
            </w:r>
            <w:r w:rsidRPr="00EB2D2C">
              <w:rPr>
                <w:rFonts w:ascii="Tahoma" w:hAnsi="Tahoma" w:cs="Tahoma"/>
                <w:color w:val="403152" w:themeColor="accent4" w:themeShade="80"/>
                <w:sz w:val="20"/>
                <w:szCs w:val="20"/>
                <w:lang w:val="en-GB"/>
              </w:rPr>
              <w:t>Blackboard</w:t>
            </w:r>
            <w:r w:rsidR="00785F61" w:rsidRPr="00EB2D2C">
              <w:rPr>
                <w:rFonts w:ascii="Tahoma" w:hAnsi="Tahoma" w:cs="Tahoma"/>
                <w:color w:val="403152" w:themeColor="accent4" w:themeShade="80"/>
                <w:sz w:val="20"/>
                <w:szCs w:val="20"/>
                <w:lang w:val="en-GB"/>
              </w:rPr>
              <w:t xml:space="preserve"> page</w:t>
            </w:r>
            <w:r w:rsidRPr="00EB2D2C">
              <w:rPr>
                <w:rFonts w:ascii="Tahoma" w:hAnsi="Tahoma" w:cs="Tahoma"/>
                <w:color w:val="403152" w:themeColor="accent4" w:themeShade="80"/>
                <w:sz w:val="20"/>
                <w:szCs w:val="20"/>
                <w:lang w:val="en-GB"/>
              </w:rPr>
              <w:t xml:space="preserve">. </w:t>
            </w:r>
          </w:p>
          <w:p w:rsidR="005A1CAB" w:rsidRPr="00EB2D2C" w:rsidRDefault="005A1CAB" w:rsidP="00785F61">
            <w:pPr>
              <w:spacing w:line="276" w:lineRule="auto"/>
              <w:cnfStyle w:val="000000000000" w:firstRow="0" w:lastRow="0" w:firstColumn="0" w:lastColumn="0" w:oddVBand="0" w:evenVBand="0" w:oddHBand="0" w:evenHBand="0" w:firstRowFirstColumn="0" w:firstRowLastColumn="0" w:lastRowFirstColumn="0" w:lastRowLastColumn="0"/>
              <w:rPr>
                <w:rFonts w:ascii="Tahoma" w:eastAsiaTheme="minorHAnsi" w:hAnsi="Tahoma" w:cs="Tahoma"/>
                <w:color w:val="403152" w:themeColor="accent4" w:themeShade="80"/>
                <w:sz w:val="20"/>
                <w:szCs w:val="20"/>
                <w:lang w:val="en-GB"/>
              </w:rPr>
            </w:pPr>
          </w:p>
        </w:tc>
      </w:tr>
      <w:tr w:rsidR="009B676C" w:rsidRPr="00EB2D2C" w:rsidTr="00EB2D2C">
        <w:trPr>
          <w:cnfStyle w:val="000000100000" w:firstRow="0" w:lastRow="0" w:firstColumn="0" w:lastColumn="0" w:oddVBand="0" w:evenVBand="0" w:oddHBand="1" w:evenHBand="0" w:firstRowFirstColumn="0" w:firstRowLastColumn="0" w:lastRowFirstColumn="0" w:lastRowLastColumn="0"/>
        </w:trPr>
        <w:sdt>
          <w:sdtPr>
            <w:rPr>
              <w:rFonts w:ascii="Tahoma" w:eastAsiaTheme="minorHAnsi" w:hAnsi="Tahoma" w:cs="Tahoma"/>
              <w:color w:val="403152" w:themeColor="accent4" w:themeShade="80"/>
              <w:sz w:val="20"/>
              <w:szCs w:val="20"/>
              <w:lang w:val="en-GB"/>
            </w:rPr>
            <w:id w:val="17940893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4" w:type="dxa"/>
                <w:tcBorders>
                  <w:top w:val="none" w:sz="0" w:space="0" w:color="auto"/>
                  <w:left w:val="none" w:sz="0" w:space="0" w:color="auto"/>
                  <w:bottom w:val="none" w:sz="0" w:space="0" w:color="auto"/>
                </w:tcBorders>
              </w:tcPr>
              <w:p w:rsidR="009B676C" w:rsidRPr="00EB2D2C" w:rsidRDefault="009B676C" w:rsidP="00442A93">
                <w:pPr>
                  <w:spacing w:line="276" w:lineRule="auto"/>
                  <w:rPr>
                    <w:rFonts w:ascii="Tahoma" w:eastAsia="MS Gothic" w:hAnsi="Tahoma" w:cs="Tahoma"/>
                    <w:color w:val="403152" w:themeColor="accent4" w:themeShade="80"/>
                    <w:sz w:val="20"/>
                    <w:szCs w:val="20"/>
                    <w:lang w:val="en-GB"/>
                  </w:rPr>
                </w:pPr>
                <w:r w:rsidRPr="00EB2D2C">
                  <w:rPr>
                    <w:rFonts w:ascii="MS UI Gothic" w:eastAsia="MS UI Gothic" w:hAnsi="MS UI Gothic" w:cs="MS UI Gothic" w:hint="eastAsia"/>
                    <w:color w:val="403152" w:themeColor="accent4" w:themeShade="80"/>
                    <w:sz w:val="20"/>
                    <w:szCs w:val="20"/>
                    <w:lang w:val="en-GB"/>
                  </w:rPr>
                  <w:t>☐</w:t>
                </w:r>
              </w:p>
            </w:tc>
          </w:sdtContent>
        </w:sdt>
        <w:tc>
          <w:tcPr>
            <w:tcW w:w="9790" w:type="dxa"/>
            <w:tcBorders>
              <w:top w:val="none" w:sz="0" w:space="0" w:color="auto"/>
              <w:bottom w:val="none" w:sz="0" w:space="0" w:color="auto"/>
              <w:right w:val="none" w:sz="0" w:space="0" w:color="auto"/>
            </w:tcBorders>
          </w:tcPr>
          <w:p w:rsidR="009B676C" w:rsidRPr="00EB2D2C" w:rsidRDefault="009B676C" w:rsidP="0027034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403152" w:themeColor="accent4" w:themeShade="80"/>
                <w:sz w:val="20"/>
                <w:szCs w:val="20"/>
                <w:lang w:val="en-GB"/>
              </w:rPr>
            </w:pPr>
            <w:r w:rsidRPr="00EB2D2C">
              <w:rPr>
                <w:rFonts w:ascii="Tahoma" w:hAnsi="Tahoma" w:cs="Tahoma"/>
                <w:b/>
                <w:color w:val="403152" w:themeColor="accent4" w:themeShade="80"/>
                <w:sz w:val="20"/>
                <w:szCs w:val="20"/>
                <w:lang w:val="en-GB"/>
              </w:rPr>
              <w:t>Liability</w:t>
            </w:r>
          </w:p>
          <w:p w:rsidR="009B676C" w:rsidRPr="00EB2D2C" w:rsidRDefault="009B676C" w:rsidP="0027034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The company cannot evade legal liability by transferring it to you or to the University. If no mention is made of liability in the contract</w:t>
            </w:r>
            <w:r w:rsidR="007077B6">
              <w:rPr>
                <w:rFonts w:ascii="Tahoma" w:hAnsi="Tahoma" w:cs="Tahoma"/>
                <w:color w:val="403152" w:themeColor="accent4" w:themeShade="80"/>
                <w:sz w:val="20"/>
                <w:szCs w:val="20"/>
                <w:lang w:val="en-GB"/>
              </w:rPr>
              <w:t xml:space="preserve"> </w:t>
            </w:r>
            <w:r w:rsidR="007077B6" w:rsidRPr="007077B6">
              <w:rPr>
                <w:rFonts w:ascii="Tahoma" w:hAnsi="Tahoma" w:cs="Tahoma"/>
                <w:color w:val="403152" w:themeColor="accent4" w:themeShade="80"/>
                <w:sz w:val="20"/>
                <w:szCs w:val="20"/>
                <w:lang w:val="en-GB"/>
              </w:rPr>
              <w:t>(and assuming an internship within a company in the Netherlands)</w:t>
            </w:r>
            <w:r w:rsidRPr="00EB2D2C">
              <w:rPr>
                <w:rFonts w:ascii="Tahoma" w:hAnsi="Tahoma" w:cs="Tahoma"/>
                <w:color w:val="403152" w:themeColor="accent4" w:themeShade="80"/>
                <w:sz w:val="20"/>
                <w:szCs w:val="20"/>
                <w:lang w:val="en-GB"/>
              </w:rPr>
              <w:t xml:space="preserve">, the general </w:t>
            </w:r>
            <w:r w:rsidR="007077B6">
              <w:rPr>
                <w:rFonts w:ascii="Tahoma" w:hAnsi="Tahoma" w:cs="Tahoma"/>
                <w:color w:val="403152" w:themeColor="accent4" w:themeShade="80"/>
                <w:sz w:val="20"/>
                <w:szCs w:val="20"/>
                <w:lang w:val="en-GB"/>
              </w:rPr>
              <w:t xml:space="preserve">(Dutch) </w:t>
            </w:r>
            <w:r w:rsidRPr="00EB2D2C">
              <w:rPr>
                <w:rFonts w:ascii="Tahoma" w:hAnsi="Tahoma" w:cs="Tahoma"/>
                <w:color w:val="403152" w:themeColor="accent4" w:themeShade="80"/>
                <w:sz w:val="20"/>
                <w:szCs w:val="20"/>
                <w:lang w:val="en-GB"/>
              </w:rPr>
              <w:t>law applies, which includes adequate provisions. If it is mentioned, check whether the following three-step split still applies for the insurance that can be used to cover any damages that may arise:</w:t>
            </w:r>
          </w:p>
          <w:p w:rsidR="009B676C" w:rsidRPr="00EB2D2C" w:rsidRDefault="009B676C" w:rsidP="00785F61">
            <w:pPr>
              <w:pStyle w:val="ListParagraph"/>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firstly the collective liability of the company</w:t>
            </w:r>
          </w:p>
          <w:p w:rsidR="009B676C" w:rsidRPr="00EB2D2C" w:rsidRDefault="009B676C" w:rsidP="00785F61">
            <w:pPr>
              <w:pStyle w:val="ListParagraph"/>
              <w:numPr>
                <w:ilvl w:val="0"/>
                <w:numId w:val="11"/>
              </w:num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if this does not cover the damage, a claim will be made on the student's own third-party liability insurance (it is your responsibility to arrange healthcare</w:t>
            </w:r>
            <w:r w:rsidR="00785F61" w:rsidRPr="00EB2D2C">
              <w:rPr>
                <w:rFonts w:ascii="Tahoma" w:hAnsi="Tahoma" w:cs="Tahoma"/>
                <w:color w:val="403152" w:themeColor="accent4" w:themeShade="80"/>
                <w:sz w:val="20"/>
                <w:szCs w:val="20"/>
                <w:lang w:val="en-GB"/>
              </w:rPr>
              <w:t>*</w:t>
            </w:r>
            <w:r w:rsidRPr="00EB2D2C">
              <w:rPr>
                <w:rFonts w:ascii="Tahoma" w:hAnsi="Tahoma" w:cs="Tahoma"/>
                <w:color w:val="403152" w:themeColor="accent4" w:themeShade="80"/>
                <w:sz w:val="20"/>
                <w:szCs w:val="20"/>
                <w:lang w:val="en-GB"/>
              </w:rPr>
              <w:t>, travel</w:t>
            </w:r>
            <w:r w:rsidR="00785F61" w:rsidRPr="00EB2D2C">
              <w:rPr>
                <w:rFonts w:ascii="Tahoma" w:hAnsi="Tahoma" w:cs="Tahoma"/>
                <w:color w:val="403152" w:themeColor="accent4" w:themeShade="80"/>
                <w:sz w:val="20"/>
                <w:szCs w:val="20"/>
                <w:lang w:val="en-GB"/>
              </w:rPr>
              <w:t>**</w:t>
            </w:r>
            <w:r w:rsidRPr="00EB2D2C">
              <w:rPr>
                <w:rFonts w:ascii="Tahoma" w:hAnsi="Tahoma" w:cs="Tahoma"/>
                <w:color w:val="403152" w:themeColor="accent4" w:themeShade="80"/>
                <w:sz w:val="20"/>
                <w:szCs w:val="20"/>
                <w:lang w:val="en-GB"/>
              </w:rPr>
              <w:t>, third-party liability, legal assistance, accident and contents insurance and possibly additional insurance when travelling abroad).</w:t>
            </w:r>
          </w:p>
          <w:p w:rsidR="00785F61" w:rsidRPr="00EB2D2C" w:rsidRDefault="00785F61" w:rsidP="0027034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p>
          <w:p w:rsidR="009B676C" w:rsidRPr="00EB2D2C" w:rsidRDefault="009B676C" w:rsidP="0027034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Of course the above only applies to cases in which damages are the result of the actions (or lack of action) of the student, without it being owing to ‘gross negligence or intent’. In other words, as long as it happens by accident and not deliberately. If it happens deliberately, you will be liable for the damage yourself.</w:t>
            </w:r>
          </w:p>
          <w:p w:rsidR="009B676C" w:rsidRPr="00EB2D2C" w:rsidRDefault="009B676C" w:rsidP="0027034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p>
          <w:p w:rsidR="009B676C" w:rsidRPr="00EB2D2C" w:rsidRDefault="009B676C" w:rsidP="0027034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 xml:space="preserve">Most companies have group insurance for their employees to cover liability. They can offer this to interns for a maximum of two euros extra per month. This is something that they should/are obliged to do. </w:t>
            </w:r>
          </w:p>
          <w:p w:rsidR="009B676C" w:rsidRPr="00EB2D2C" w:rsidRDefault="009B676C" w:rsidP="0027034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p>
          <w:p w:rsidR="009B676C" w:rsidRPr="00EB2D2C" w:rsidRDefault="009B676C" w:rsidP="0027034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The party on whose premises work is carried out (Section 7:658(4) of the Netherlands Civil Code) not only directs the work but also determines the conditions under which it is carried out. This means that, by operation of law, it is there that the responsibility and therefore also the liability ultimately rests. TU Delft or the student cannot take on this liability (as this goes beyond statutory provisions). Although companies do attempt to attribute it to TU Delft, this is not possible because we have not taken out non-statutory insurance.</w:t>
            </w:r>
          </w:p>
          <w:p w:rsidR="00785F61" w:rsidRPr="00EB2D2C" w:rsidRDefault="00785F61" w:rsidP="0027034F">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p>
          <w:p w:rsidR="00785F61" w:rsidRPr="00EB2D2C" w:rsidRDefault="00785F61" w:rsidP="00785F61">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
                <w:color w:val="403152" w:themeColor="accent4" w:themeShade="80"/>
                <w:sz w:val="16"/>
                <w:szCs w:val="16"/>
                <w:lang w:val="en-GB"/>
              </w:rPr>
            </w:pPr>
            <w:r w:rsidRPr="00EB2D2C">
              <w:rPr>
                <w:rFonts w:ascii="Tahoma" w:hAnsi="Tahoma" w:cs="Tahoma"/>
                <w:i/>
                <w:color w:val="403152" w:themeColor="accent4" w:themeShade="80"/>
                <w:sz w:val="16"/>
                <w:szCs w:val="16"/>
                <w:lang w:val="en-GB"/>
              </w:rPr>
              <w:t xml:space="preserve">*) NonEU students, if you receive remuneration for your internship, it is likely that you will have to switch from your private healthcare insurance to a Dutch Basic Healthcare insurance. For more information, please check the information sheet “Non EU Students and Healthcare Insurance” </w:t>
            </w:r>
          </w:p>
          <w:p w:rsidR="00785F61" w:rsidRPr="00EB2D2C" w:rsidRDefault="00785F61" w:rsidP="00785F61">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i/>
                <w:color w:val="403152" w:themeColor="accent4" w:themeShade="80"/>
                <w:sz w:val="16"/>
                <w:szCs w:val="16"/>
                <w:lang w:val="en-GB"/>
              </w:rPr>
            </w:pPr>
          </w:p>
          <w:p w:rsidR="00785F61" w:rsidRPr="00EB2D2C" w:rsidRDefault="00785F61" w:rsidP="00785F61">
            <w:pPr>
              <w:cnfStyle w:val="000000100000" w:firstRow="0" w:lastRow="0" w:firstColumn="0" w:lastColumn="0" w:oddVBand="0" w:evenVBand="0" w:oddHBand="1" w:evenHBand="0" w:firstRowFirstColumn="0" w:firstRowLastColumn="0" w:lastRowFirstColumn="0" w:lastRowLastColumn="0"/>
              <w:rPr>
                <w:rFonts w:ascii="Tahoma" w:hAnsi="Tahoma" w:cs="Tahoma"/>
                <w:i/>
                <w:color w:val="403152" w:themeColor="accent4" w:themeShade="80"/>
                <w:sz w:val="16"/>
                <w:szCs w:val="16"/>
                <w:lang w:val="en-GB"/>
              </w:rPr>
            </w:pPr>
            <w:r w:rsidRPr="00EB2D2C">
              <w:rPr>
                <w:rFonts w:ascii="Tahoma" w:hAnsi="Tahoma" w:cs="Tahoma"/>
                <w:i/>
                <w:color w:val="403152" w:themeColor="accent4" w:themeShade="80"/>
                <w:sz w:val="16"/>
                <w:szCs w:val="16"/>
                <w:lang w:val="en-GB"/>
              </w:rPr>
              <w:lastRenderedPageBreak/>
              <w:t xml:space="preserve">**) When you go abroad for study purposes, you are obliged to register your stay abroad in OSIRIS. After registering and filling out your contact information in Osiris your study related part of your foreign travel is covered by the collective travel insurance from TU Delft. The crisis centre of the insurance and, where necessary, the Dutch Embassy (or your own) will assist you in case of emergency. </w:t>
            </w:r>
            <w:r w:rsidR="00C7456F" w:rsidRPr="00EB2D2C">
              <w:rPr>
                <w:rFonts w:ascii="Tahoma" w:hAnsi="Tahoma" w:cs="Tahoma"/>
                <w:i/>
                <w:color w:val="403152" w:themeColor="accent4" w:themeShade="80"/>
                <w:sz w:val="16"/>
                <w:szCs w:val="16"/>
                <w:lang w:val="en-GB"/>
              </w:rPr>
              <w:t xml:space="preserve"> You can find more detailed information on how to register and the insurance policy </w:t>
            </w:r>
            <w:hyperlink r:id="rId9" w:history="1">
              <w:r w:rsidR="00C7456F" w:rsidRPr="00EB2D2C">
                <w:rPr>
                  <w:rStyle w:val="Hyperlink"/>
                  <w:rFonts w:ascii="Tahoma" w:hAnsi="Tahoma" w:cs="Tahoma"/>
                  <w:i/>
                  <w:sz w:val="16"/>
                  <w:szCs w:val="16"/>
                  <w:lang w:val="en-GB"/>
                </w:rPr>
                <w:t>here</w:t>
              </w:r>
            </w:hyperlink>
            <w:r w:rsidR="00C7456F" w:rsidRPr="00EB2D2C">
              <w:rPr>
                <w:rFonts w:ascii="Tahoma" w:hAnsi="Tahoma" w:cs="Tahoma"/>
                <w:i/>
                <w:color w:val="403152" w:themeColor="accent4" w:themeShade="80"/>
                <w:sz w:val="16"/>
                <w:szCs w:val="16"/>
                <w:lang w:val="en-GB"/>
              </w:rPr>
              <w:t xml:space="preserve">. </w:t>
            </w:r>
          </w:p>
          <w:p w:rsidR="00785F61" w:rsidRPr="00EB2D2C" w:rsidRDefault="00785F61" w:rsidP="00785F61">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403152" w:themeColor="accent4" w:themeShade="80"/>
                <w:sz w:val="20"/>
                <w:szCs w:val="20"/>
                <w:lang w:val="en-GB"/>
              </w:rPr>
            </w:pPr>
          </w:p>
        </w:tc>
      </w:tr>
      <w:tr w:rsidR="0014578B" w:rsidRPr="00EB2D2C" w:rsidTr="00EB2D2C">
        <w:sdt>
          <w:sdtPr>
            <w:rPr>
              <w:rFonts w:ascii="Tahoma" w:eastAsiaTheme="minorHAnsi" w:hAnsi="Tahoma" w:cs="Tahoma"/>
              <w:color w:val="403152" w:themeColor="accent4" w:themeShade="80"/>
              <w:sz w:val="20"/>
              <w:szCs w:val="20"/>
              <w:lang w:val="en-GB"/>
            </w:rPr>
            <w:id w:val="75001190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4" w:type="dxa"/>
              </w:tcPr>
              <w:p w:rsidR="0014578B" w:rsidRPr="00EB2D2C" w:rsidRDefault="0014578B" w:rsidP="00442A93">
                <w:pPr>
                  <w:spacing w:line="276" w:lineRule="auto"/>
                  <w:rPr>
                    <w:rFonts w:ascii="Tahoma" w:eastAsia="MS Gothic" w:hAnsi="Tahoma" w:cs="Tahoma"/>
                    <w:color w:val="403152" w:themeColor="accent4" w:themeShade="80"/>
                    <w:sz w:val="20"/>
                    <w:szCs w:val="20"/>
                    <w:lang w:val="en-GB"/>
                  </w:rPr>
                </w:pPr>
                <w:r w:rsidRPr="00EB2D2C">
                  <w:rPr>
                    <w:rFonts w:ascii="MS UI Gothic" w:eastAsia="MS UI Gothic" w:hAnsi="MS UI Gothic" w:cs="MS UI Gothic" w:hint="eastAsia"/>
                    <w:color w:val="403152" w:themeColor="accent4" w:themeShade="80"/>
                    <w:sz w:val="20"/>
                    <w:szCs w:val="20"/>
                    <w:lang w:val="en-GB"/>
                  </w:rPr>
                  <w:t>☐</w:t>
                </w:r>
              </w:p>
            </w:tc>
          </w:sdtContent>
        </w:sdt>
        <w:tc>
          <w:tcPr>
            <w:tcW w:w="9790" w:type="dxa"/>
          </w:tcPr>
          <w:p w:rsidR="0014578B" w:rsidRPr="00EB2D2C" w:rsidRDefault="0014578B" w:rsidP="0014578B">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b/>
                <w:color w:val="403152" w:themeColor="accent4" w:themeShade="80"/>
                <w:sz w:val="20"/>
                <w:szCs w:val="20"/>
                <w:lang w:val="en-GB"/>
              </w:rPr>
            </w:pPr>
            <w:r w:rsidRPr="00EB2D2C">
              <w:rPr>
                <w:rFonts w:ascii="Tahoma" w:hAnsi="Tahoma" w:cs="Tahoma"/>
                <w:b/>
                <w:color w:val="403152" w:themeColor="accent4" w:themeShade="80"/>
                <w:sz w:val="20"/>
                <w:szCs w:val="20"/>
                <w:lang w:val="en-GB"/>
              </w:rPr>
              <w:t>Intellectual Property</w:t>
            </w:r>
          </w:p>
          <w:p w:rsidR="00D97162" w:rsidRPr="00D97162" w:rsidRDefault="0014578B" w:rsidP="00D97162">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 xml:space="preserve">Most internship contracts immediately transfer </w:t>
            </w:r>
            <w:r w:rsidR="00D97162" w:rsidRPr="00D97162">
              <w:rPr>
                <w:rFonts w:ascii="Tahoma" w:hAnsi="Tahoma" w:cs="Tahoma"/>
                <w:color w:val="403152" w:themeColor="accent4" w:themeShade="80"/>
                <w:sz w:val="20"/>
                <w:szCs w:val="20"/>
                <w:lang w:val="en-GB"/>
              </w:rPr>
              <w:t xml:space="preserve">ownership in </w:t>
            </w:r>
            <w:r w:rsidRPr="00EB2D2C">
              <w:rPr>
                <w:rFonts w:ascii="Tahoma" w:hAnsi="Tahoma" w:cs="Tahoma"/>
                <w:color w:val="403152" w:themeColor="accent4" w:themeShade="80"/>
                <w:sz w:val="20"/>
                <w:szCs w:val="20"/>
                <w:lang w:val="en-GB"/>
              </w:rPr>
              <w:t xml:space="preserve">any </w:t>
            </w:r>
            <w:r w:rsidR="00D97162" w:rsidRPr="00D97162">
              <w:rPr>
                <w:rFonts w:ascii="Tahoma" w:hAnsi="Tahoma" w:cs="Tahoma"/>
                <w:color w:val="403152" w:themeColor="accent4" w:themeShade="80"/>
                <w:sz w:val="20"/>
                <w:szCs w:val="20"/>
                <w:lang w:val="en-GB"/>
              </w:rPr>
              <w:t xml:space="preserve">information, results or </w:t>
            </w:r>
            <w:r w:rsidRPr="00EB2D2C">
              <w:rPr>
                <w:rFonts w:ascii="Tahoma" w:hAnsi="Tahoma" w:cs="Tahoma"/>
                <w:color w:val="403152" w:themeColor="accent4" w:themeShade="80"/>
                <w:sz w:val="20"/>
                <w:szCs w:val="20"/>
                <w:lang w:val="en-GB"/>
              </w:rPr>
              <w:t>intellectual property</w:t>
            </w:r>
            <w:r w:rsidR="00D97162">
              <w:rPr>
                <w:rFonts w:ascii="Tahoma" w:hAnsi="Tahoma" w:cs="Tahoma"/>
                <w:color w:val="403152" w:themeColor="accent4" w:themeShade="80"/>
                <w:sz w:val="20"/>
                <w:szCs w:val="20"/>
                <w:lang w:val="en-GB"/>
              </w:rPr>
              <w:t xml:space="preserve"> </w:t>
            </w:r>
            <w:r w:rsidR="00D97162" w:rsidRPr="00D97162">
              <w:rPr>
                <w:rFonts w:ascii="Tahoma" w:hAnsi="Tahoma" w:cs="Tahoma"/>
                <w:color w:val="403152" w:themeColor="accent4" w:themeShade="80"/>
                <w:sz w:val="20"/>
                <w:szCs w:val="20"/>
                <w:lang w:val="en-GB"/>
              </w:rPr>
              <w:t xml:space="preserve">(including copyright) you (co-)generate </w:t>
            </w:r>
            <w:r w:rsidRPr="00EB2D2C">
              <w:rPr>
                <w:rFonts w:ascii="Tahoma" w:hAnsi="Tahoma" w:cs="Tahoma"/>
                <w:color w:val="403152" w:themeColor="accent4" w:themeShade="80"/>
                <w:sz w:val="20"/>
                <w:szCs w:val="20"/>
                <w:lang w:val="en-GB"/>
              </w:rPr>
              <w:t xml:space="preserve"> directly to the internship provider. This is in accordance with the law and is the same for employees. </w:t>
            </w:r>
            <w:r w:rsidR="00D97162" w:rsidRPr="00D97162">
              <w:rPr>
                <w:rFonts w:ascii="Tahoma" w:hAnsi="Tahoma" w:cs="Tahoma"/>
                <w:color w:val="403152" w:themeColor="accent4" w:themeShade="80"/>
                <w:sz w:val="20"/>
                <w:szCs w:val="20"/>
                <w:lang w:val="en-GB"/>
              </w:rPr>
              <w:t>As a student you are entitled to own any copyright protected report(s) you generate. At the same time the internship provider is entitled to a royalty free license to copy and/or to publish the report(s) or parts of it.</w:t>
            </w:r>
          </w:p>
          <w:p w:rsidR="00D97162" w:rsidRPr="00D97162" w:rsidRDefault="00D97162" w:rsidP="00D97162">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403152" w:themeColor="accent4" w:themeShade="80"/>
                <w:sz w:val="20"/>
                <w:szCs w:val="20"/>
                <w:lang w:val="en-GB"/>
              </w:rPr>
            </w:pPr>
          </w:p>
          <w:p w:rsidR="00EB2D2C" w:rsidRPr="00EB2D2C" w:rsidRDefault="00D97162" w:rsidP="00D97162">
            <w:pPr>
              <w:spacing w:line="276" w:lineRule="auto"/>
              <w:cnfStyle w:val="000000000000" w:firstRow="0" w:lastRow="0" w:firstColumn="0" w:lastColumn="0" w:oddVBand="0" w:evenVBand="0" w:oddHBand="0" w:evenHBand="0" w:firstRowFirstColumn="0" w:firstRowLastColumn="0" w:lastRowFirstColumn="0" w:lastRowLastColumn="0"/>
              <w:rPr>
                <w:rFonts w:ascii="Tahoma" w:hAnsi="Tahoma" w:cs="Tahoma"/>
                <w:color w:val="403152" w:themeColor="accent4" w:themeShade="80"/>
                <w:sz w:val="20"/>
                <w:szCs w:val="20"/>
                <w:lang w:val="en-GB"/>
              </w:rPr>
            </w:pPr>
            <w:r w:rsidRPr="00D97162">
              <w:rPr>
                <w:rFonts w:ascii="Tahoma" w:hAnsi="Tahoma" w:cs="Tahoma"/>
                <w:color w:val="403152" w:themeColor="accent4" w:themeShade="80"/>
                <w:sz w:val="20"/>
                <w:szCs w:val="20"/>
                <w:lang w:val="en-GB"/>
              </w:rPr>
              <w:t xml:space="preserve">In case you co-invent and a possible patentable invention, you are entitled to be named as (co-)inventor on any resulting patent application or patent. </w:t>
            </w:r>
          </w:p>
        </w:tc>
      </w:tr>
      <w:tr w:rsidR="0014578B" w:rsidRPr="00EB2D2C" w:rsidTr="00EB2D2C">
        <w:trPr>
          <w:cnfStyle w:val="000000100000" w:firstRow="0" w:lastRow="0" w:firstColumn="0" w:lastColumn="0" w:oddVBand="0" w:evenVBand="0" w:oddHBand="1" w:evenHBand="0" w:firstRowFirstColumn="0" w:firstRowLastColumn="0" w:lastRowFirstColumn="0" w:lastRowLastColumn="0"/>
        </w:trPr>
        <w:sdt>
          <w:sdtPr>
            <w:rPr>
              <w:rFonts w:ascii="Tahoma" w:eastAsiaTheme="minorHAnsi" w:hAnsi="Tahoma" w:cs="Tahoma"/>
              <w:color w:val="403152" w:themeColor="accent4" w:themeShade="80"/>
              <w:sz w:val="20"/>
              <w:szCs w:val="20"/>
              <w:lang w:val="en-GB"/>
            </w:rPr>
            <w:id w:val="-17468743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24" w:type="dxa"/>
                <w:tcBorders>
                  <w:top w:val="none" w:sz="0" w:space="0" w:color="auto"/>
                  <w:left w:val="none" w:sz="0" w:space="0" w:color="auto"/>
                  <w:bottom w:val="none" w:sz="0" w:space="0" w:color="auto"/>
                </w:tcBorders>
              </w:tcPr>
              <w:p w:rsidR="0014578B" w:rsidRPr="00EB2D2C" w:rsidRDefault="0014578B" w:rsidP="00442A93">
                <w:pPr>
                  <w:spacing w:line="276" w:lineRule="auto"/>
                  <w:rPr>
                    <w:rFonts w:ascii="Tahoma" w:eastAsia="MS Gothic" w:hAnsi="Tahoma" w:cs="Tahoma"/>
                    <w:color w:val="403152" w:themeColor="accent4" w:themeShade="80"/>
                    <w:sz w:val="20"/>
                    <w:szCs w:val="20"/>
                    <w:lang w:val="en-GB"/>
                  </w:rPr>
                </w:pPr>
                <w:r w:rsidRPr="00EB2D2C">
                  <w:rPr>
                    <w:rFonts w:ascii="MS UI Gothic" w:eastAsia="MS UI Gothic" w:hAnsi="MS UI Gothic" w:cs="MS UI Gothic" w:hint="eastAsia"/>
                    <w:color w:val="403152" w:themeColor="accent4" w:themeShade="80"/>
                    <w:sz w:val="20"/>
                    <w:szCs w:val="20"/>
                    <w:lang w:val="en-GB"/>
                  </w:rPr>
                  <w:t>☐</w:t>
                </w:r>
              </w:p>
            </w:tc>
          </w:sdtContent>
        </w:sdt>
        <w:tc>
          <w:tcPr>
            <w:tcW w:w="9790" w:type="dxa"/>
            <w:tcBorders>
              <w:top w:val="none" w:sz="0" w:space="0" w:color="auto"/>
              <w:bottom w:val="none" w:sz="0" w:space="0" w:color="auto"/>
              <w:right w:val="none" w:sz="0" w:space="0" w:color="auto"/>
            </w:tcBorders>
          </w:tcPr>
          <w:p w:rsidR="00A81456" w:rsidRPr="00EB2D2C" w:rsidRDefault="00A81456" w:rsidP="00A81456">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403152" w:themeColor="accent4" w:themeShade="80"/>
                <w:sz w:val="20"/>
                <w:szCs w:val="20"/>
                <w:lang w:val="en-GB"/>
              </w:rPr>
            </w:pPr>
            <w:r w:rsidRPr="00EB2D2C">
              <w:rPr>
                <w:rFonts w:ascii="Tahoma" w:hAnsi="Tahoma" w:cs="Tahoma"/>
                <w:b/>
                <w:color w:val="403152" w:themeColor="accent4" w:themeShade="80"/>
                <w:sz w:val="20"/>
                <w:szCs w:val="20"/>
                <w:lang w:val="en-GB"/>
              </w:rPr>
              <w:t>Employee</w:t>
            </w:r>
          </w:p>
          <w:p w:rsidR="00A81456" w:rsidRPr="00EB2D2C" w:rsidRDefault="00A81456" w:rsidP="00A81456">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 xml:space="preserve">When working as an intern, a student does not have the status of an employee, as defined in the Netherlands Civil Code (7:610). This is explicitly stated in almost every contract, ensuring that the internship provider cannot be called to account for any obligations as an employer rather than an internship provider. </w:t>
            </w:r>
          </w:p>
          <w:p w:rsidR="0014578B" w:rsidRPr="00EB2D2C" w:rsidRDefault="00A81456" w:rsidP="00A81456">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From the other perspective, it is also not necessarily in the advantage of a student to be designated as an employee in the contract. This would involve obligations for the student that could be counter-productive. This might involve social insurance, liability, etc., etc.</w:t>
            </w:r>
          </w:p>
          <w:p w:rsidR="00A81456" w:rsidRPr="00EB2D2C" w:rsidRDefault="00A81456" w:rsidP="00A81456">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p>
          <w:p w:rsidR="00A81456" w:rsidRPr="00EB2D2C" w:rsidRDefault="00A81456" w:rsidP="00A81456">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color w:val="403152" w:themeColor="accent4" w:themeShade="80"/>
                <w:sz w:val="20"/>
                <w:szCs w:val="20"/>
                <w:lang w:val="en-GB"/>
              </w:rPr>
            </w:pPr>
            <w:r w:rsidRPr="00EB2D2C">
              <w:rPr>
                <w:rFonts w:ascii="Tahoma" w:hAnsi="Tahoma" w:cs="Tahoma"/>
                <w:b/>
                <w:color w:val="403152" w:themeColor="accent4" w:themeShade="80"/>
                <w:sz w:val="20"/>
                <w:szCs w:val="20"/>
                <w:lang w:val="en-GB"/>
              </w:rPr>
              <w:t>Results versus Effort</w:t>
            </w:r>
          </w:p>
          <w:p w:rsidR="00A81456" w:rsidRPr="00EB2D2C" w:rsidRDefault="00A81456" w:rsidP="00D97162">
            <w:pPr>
              <w:spacing w:line="276" w:lineRule="auto"/>
              <w:cnfStyle w:val="000000100000" w:firstRow="0" w:lastRow="0" w:firstColumn="0" w:lastColumn="0" w:oddVBand="0" w:evenVBand="0" w:oddHBand="1" w:evenHBand="0" w:firstRowFirstColumn="0" w:firstRowLastColumn="0" w:lastRowFirstColumn="0" w:lastRowLastColumn="0"/>
              <w:rPr>
                <w:rFonts w:ascii="Tahoma" w:hAnsi="Tahoma" w:cs="Tahoma"/>
                <w:color w:val="403152" w:themeColor="accent4" w:themeShade="80"/>
                <w:sz w:val="20"/>
                <w:szCs w:val="20"/>
                <w:lang w:val="en-GB"/>
              </w:rPr>
            </w:pPr>
            <w:r w:rsidRPr="00EB2D2C">
              <w:rPr>
                <w:rFonts w:ascii="Tahoma" w:hAnsi="Tahoma" w:cs="Tahoma"/>
                <w:color w:val="403152" w:themeColor="accent4" w:themeShade="80"/>
                <w:sz w:val="20"/>
                <w:szCs w:val="20"/>
                <w:lang w:val="en-GB"/>
              </w:rPr>
              <w:t>For the student, the internship is part of his learning programme and therefore does not involve the same kind of obligation that would apply for an employee or freelancer. The student makes a</w:t>
            </w:r>
            <w:r w:rsidR="00D97162">
              <w:rPr>
                <w:rFonts w:ascii="Tahoma" w:hAnsi="Tahoma" w:cs="Tahoma"/>
                <w:color w:val="403152" w:themeColor="accent4" w:themeShade="80"/>
                <w:sz w:val="20"/>
                <w:szCs w:val="20"/>
                <w:lang w:val="en-GB"/>
              </w:rPr>
              <w:t xml:space="preserve"> best</w:t>
            </w:r>
            <w:r w:rsidRPr="00EB2D2C">
              <w:rPr>
                <w:rFonts w:ascii="Tahoma" w:hAnsi="Tahoma" w:cs="Tahoma"/>
                <w:color w:val="403152" w:themeColor="accent4" w:themeShade="80"/>
                <w:sz w:val="20"/>
                <w:szCs w:val="20"/>
                <w:lang w:val="en-GB"/>
              </w:rPr>
              <w:t xml:space="preserve"> effort and it is hoped that this will deliver results that will be useful to the company. Nevertheless, the student is not obligated to achieve any specific results. If this were to be contractually agreed, it would be possible for the student to breach the contract by defaulting on this.</w:t>
            </w:r>
          </w:p>
        </w:tc>
      </w:tr>
    </w:tbl>
    <w:p w:rsidR="00046FE2" w:rsidRDefault="00046FE2" w:rsidP="00785F61">
      <w:pPr>
        <w:rPr>
          <w:rFonts w:ascii="Tahoma" w:hAnsi="Tahoma" w:cs="Tahoma"/>
          <w:b/>
          <w:sz w:val="20"/>
          <w:szCs w:val="20"/>
          <w:lang w:val="en-GB"/>
        </w:rPr>
      </w:pPr>
    </w:p>
    <w:p w:rsidR="00D97162" w:rsidRPr="00C542B3" w:rsidRDefault="00D97162" w:rsidP="00D97162">
      <w:pPr>
        <w:rPr>
          <w:rFonts w:ascii="Tahoma" w:hAnsi="Tahoma" w:cs="Tahoma"/>
          <w:sz w:val="20"/>
          <w:szCs w:val="20"/>
          <w:lang w:val="en-GB"/>
        </w:rPr>
      </w:pPr>
    </w:p>
    <w:sectPr w:rsidR="00D97162" w:rsidRPr="00C542B3" w:rsidSect="00A47A1D">
      <w:footerReference w:type="default" r:id="rId10"/>
      <w:pgSz w:w="12240" w:h="15840"/>
      <w:pgMar w:top="709" w:right="1041" w:bottom="1418" w:left="993" w:header="708" w:footer="2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5E" w:rsidRDefault="008D755E" w:rsidP="00D24B0E">
      <w:r>
        <w:separator/>
      </w:r>
    </w:p>
  </w:endnote>
  <w:endnote w:type="continuationSeparator" w:id="0">
    <w:p w:rsidR="008D755E" w:rsidRDefault="008D755E" w:rsidP="00D2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b/>
        <w:bCs/>
        <w:sz w:val="20"/>
        <w:szCs w:val="20"/>
        <w:lang w:val="en-GB"/>
      </w:rPr>
      <w:id w:val="1655798146"/>
      <w:docPartObj>
        <w:docPartGallery w:val="Page Numbers (Bottom of Page)"/>
        <w:docPartUnique/>
      </w:docPartObj>
    </w:sdtPr>
    <w:sdtEndPr/>
    <w:sdtContent>
      <w:p w:rsidR="00EB2D2C" w:rsidRDefault="00EB2D2C" w:rsidP="00ED1271">
        <w:pPr>
          <w:pStyle w:val="Footer"/>
          <w:rPr>
            <w:rFonts w:asciiTheme="minorHAnsi" w:hAnsiTheme="minorHAnsi" w:cstheme="minorHAnsi"/>
            <w:sz w:val="20"/>
            <w:szCs w:val="20"/>
          </w:rPr>
        </w:pPr>
      </w:p>
      <w:p w:rsidR="00EB2D2C" w:rsidRPr="00A91E80" w:rsidRDefault="00EB2D2C" w:rsidP="00EB2D2C">
        <w:pPr>
          <w:pStyle w:val="BodyText"/>
          <w:tabs>
            <w:tab w:val="left" w:pos="1843"/>
            <w:tab w:val="left" w:pos="3686"/>
            <w:tab w:val="left" w:pos="5245"/>
          </w:tabs>
          <w:ind w:left="490"/>
          <w:rPr>
            <w:rFonts w:cstheme="minorHAnsi"/>
            <w:b w:val="0"/>
            <w:bCs w:val="0"/>
          </w:rPr>
        </w:pPr>
        <w:r>
          <w:rPr>
            <w:rFonts w:cstheme="minorHAnsi"/>
            <w:bCs w:val="0"/>
            <w:noProof/>
            <w:sz w:val="22"/>
            <w:szCs w:val="20"/>
            <w:lang w:val="nl-NL" w:eastAsia="nl-NL"/>
          </w:rPr>
          <w:drawing>
            <wp:anchor distT="0" distB="0" distL="114300" distR="114300" simplePos="0" relativeHeight="251660288" behindDoc="0" locked="0" layoutInCell="1" allowOverlap="1" wp14:anchorId="2EF3040B" wp14:editId="3BEEE380">
              <wp:simplePos x="0" y="0"/>
              <wp:positionH relativeFrom="column">
                <wp:posOffset>-178435</wp:posOffset>
              </wp:positionH>
              <wp:positionV relativeFrom="paragraph">
                <wp:posOffset>26670</wp:posOffset>
              </wp:positionV>
              <wp:extent cx="504190" cy="405130"/>
              <wp:effectExtent l="0" t="0" r="0" b="0"/>
              <wp:wrapSquare wrapText="bothSides"/>
              <wp:docPr id="1" name="Picture 1" descr="streepj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pjes02.jpg"/>
                      <pic:cNvPicPr/>
                    </pic:nvPicPr>
                    <pic:blipFill>
                      <a:blip r:embed="rId1"/>
                      <a:stretch>
                        <a:fillRect/>
                      </a:stretch>
                    </pic:blipFill>
                    <pic:spPr>
                      <a:xfrm>
                        <a:off x="0" y="0"/>
                        <a:ext cx="504190" cy="405130"/>
                      </a:xfrm>
                      <a:prstGeom prst="rect">
                        <a:avLst/>
                      </a:prstGeom>
                    </pic:spPr>
                  </pic:pic>
                </a:graphicData>
              </a:graphic>
            </wp:anchor>
          </w:drawing>
        </w:r>
        <w:r>
          <w:rPr>
            <w:rFonts w:cstheme="minorHAnsi"/>
            <w:bCs w:val="0"/>
            <w:noProof/>
            <w:sz w:val="22"/>
            <w:szCs w:val="20"/>
            <w:lang w:val="nl-NL" w:eastAsia="nl-NL"/>
          </w:rPr>
          <w:drawing>
            <wp:anchor distT="0" distB="0" distL="114300" distR="114300" simplePos="0" relativeHeight="251659264" behindDoc="0" locked="0" layoutInCell="1" allowOverlap="1" wp14:anchorId="569A869B" wp14:editId="012AD1BD">
              <wp:simplePos x="0" y="0"/>
              <wp:positionH relativeFrom="column">
                <wp:posOffset>5672455</wp:posOffset>
              </wp:positionH>
              <wp:positionV relativeFrom="paragraph">
                <wp:posOffset>-10795</wp:posOffset>
              </wp:positionV>
              <wp:extent cx="1173480" cy="502285"/>
              <wp:effectExtent l="0" t="0" r="7620" b="0"/>
              <wp:wrapSquare wrapText="bothSides"/>
              <wp:docPr id="3" name="Picture 3" descr="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 logo"/>
                      <pic:cNvPicPr>
                        <a:picLocks noChangeAspect="1" noChangeArrowheads="1"/>
                      </pic:cNvPicPr>
                    </pic:nvPicPr>
                    <pic:blipFill>
                      <a:blip r:embed="rId2">
                        <a:extLst>
                          <a:ext uri="{28A0092B-C50C-407E-A947-70E740481C1C}">
                            <a14:useLocalDpi xmlns:a14="http://schemas.microsoft.com/office/drawing/2010/main" val="0"/>
                          </a:ext>
                        </a:extLst>
                      </a:blip>
                      <a:srcRect l="7854" t="21991" b="24014"/>
                      <a:stretch>
                        <a:fillRect/>
                      </a:stretch>
                    </pic:blipFill>
                    <pic:spPr bwMode="auto">
                      <a:xfrm>
                        <a:off x="0" y="0"/>
                        <a:ext cx="1173480" cy="502285"/>
                      </a:xfrm>
                      <a:prstGeom prst="rect">
                        <a:avLst/>
                      </a:prstGeom>
                      <a:noFill/>
                      <a:ln>
                        <a:noFill/>
                      </a:ln>
                    </pic:spPr>
                  </pic:pic>
                </a:graphicData>
              </a:graphic>
            </wp:anchor>
          </w:drawing>
        </w:r>
        <w:r>
          <w:rPr>
            <w:rFonts w:cstheme="minorHAnsi"/>
            <w:bCs w:val="0"/>
            <w:sz w:val="22"/>
            <w:szCs w:val="20"/>
          </w:rPr>
          <w:t xml:space="preserve"> </w:t>
        </w:r>
        <w:r w:rsidRPr="00A91E80">
          <w:rPr>
            <w:rFonts w:cstheme="minorHAnsi"/>
            <w:bCs w:val="0"/>
            <w:sz w:val="22"/>
            <w:szCs w:val="20"/>
          </w:rPr>
          <w:t xml:space="preserve">Internship Office </w:t>
        </w:r>
        <w:r w:rsidRPr="00A91E80">
          <w:rPr>
            <w:rFonts w:cstheme="minorHAnsi"/>
            <w:bCs w:val="0"/>
            <w:color w:val="3EB4F8"/>
            <w:sz w:val="22"/>
            <w:szCs w:val="20"/>
          </w:rPr>
          <w:t>TNW</w:t>
        </w:r>
        <w:r>
          <w:rPr>
            <w:rFonts w:cstheme="minorHAnsi"/>
            <w:b w:val="0"/>
            <w:bCs w:val="0"/>
          </w:rPr>
          <w:t xml:space="preserve">       </w:t>
        </w:r>
        <w:r>
          <w:rPr>
            <w:rFonts w:cstheme="minorHAnsi"/>
            <w:b w:val="0"/>
            <w:bCs w:val="0"/>
          </w:rPr>
          <w:tab/>
        </w:r>
        <w:r>
          <w:rPr>
            <w:rFonts w:ascii="MS Mincho" w:eastAsia="MS Mincho" w:hAnsi="MS Mincho" w:cs="MS Mincho" w:hint="eastAsia"/>
            <w:b w:val="0"/>
            <w:bCs w:val="0"/>
          </w:rPr>
          <w:t xml:space="preserve">　</w:t>
        </w:r>
        <w:r w:rsidRPr="00A91E80">
          <w:rPr>
            <w:rFonts w:cstheme="minorHAnsi"/>
            <w:b w:val="0"/>
            <w:bCs w:val="0"/>
          </w:rPr>
          <w:tab/>
        </w:r>
        <w:r w:rsidRPr="00A91E80">
          <w:rPr>
            <w:rFonts w:cstheme="minorHAnsi"/>
            <w:b w:val="0"/>
            <w:bCs w:val="0"/>
          </w:rPr>
          <w:tab/>
        </w:r>
        <w:r w:rsidRPr="00A91E80">
          <w:rPr>
            <w:rFonts w:cstheme="minorHAnsi"/>
            <w:b w:val="0"/>
            <w:bCs w:val="0"/>
          </w:rPr>
          <w:tab/>
        </w:r>
      </w:p>
      <w:p w:rsidR="00EB2D2C" w:rsidRPr="00F764D3" w:rsidRDefault="00EB2D2C" w:rsidP="00EB2D2C">
        <w:pPr>
          <w:pStyle w:val="BodyText"/>
          <w:tabs>
            <w:tab w:val="left" w:pos="3402"/>
            <w:tab w:val="left" w:pos="3686"/>
            <w:tab w:val="left" w:pos="5245"/>
            <w:tab w:val="left" w:pos="5387"/>
          </w:tabs>
          <w:ind w:left="490"/>
          <w:rPr>
            <w:rFonts w:ascii="MS Mincho" w:eastAsia="MS Mincho" w:hAnsi="MS Mincho" w:cs="MS Mincho"/>
            <w:b w:val="0"/>
            <w:bCs w:val="0"/>
          </w:rPr>
        </w:pPr>
        <w:r>
          <w:rPr>
            <w:rFonts w:cstheme="minorHAnsi"/>
            <w:bCs w:val="0"/>
          </w:rPr>
          <w:t xml:space="preserve"> </w:t>
        </w:r>
        <w:r w:rsidRPr="00A91E80">
          <w:rPr>
            <w:rFonts w:cstheme="minorHAnsi"/>
            <w:bCs w:val="0"/>
          </w:rPr>
          <w:t>E</w:t>
        </w:r>
        <w:r w:rsidRPr="00A91E80">
          <w:rPr>
            <w:rFonts w:cstheme="minorHAnsi"/>
            <w:b w:val="0"/>
            <w:bCs w:val="0"/>
          </w:rPr>
          <w:t>:</w:t>
        </w:r>
        <w:r>
          <w:rPr>
            <w:rFonts w:cstheme="minorHAnsi"/>
            <w:b w:val="0"/>
            <w:bCs w:val="0"/>
          </w:rPr>
          <w:t xml:space="preserve"> </w:t>
        </w:r>
        <w:r w:rsidRPr="008B0C42">
          <w:rPr>
            <w:rFonts w:cstheme="minorHAnsi"/>
            <w:b w:val="0"/>
            <w:bCs w:val="0"/>
          </w:rPr>
          <w:t>InternshipOffice-TNW@TUDelft.nl</w:t>
        </w:r>
        <w:r>
          <w:rPr>
            <w:rFonts w:cstheme="minorHAnsi"/>
            <w:b w:val="0"/>
            <w:bCs w:val="0"/>
          </w:rPr>
          <w:tab/>
        </w:r>
        <w:r w:rsidRPr="00F764D3">
          <w:rPr>
            <w:rFonts w:cstheme="minorHAnsi"/>
            <w:bCs w:val="0"/>
            <w:noProof/>
          </w:rPr>
          <w:t>Visiting</w:t>
        </w:r>
        <w:r w:rsidRPr="00F764D3">
          <w:rPr>
            <w:rFonts w:cstheme="minorHAnsi"/>
            <w:bCs w:val="0"/>
          </w:rPr>
          <w:t xml:space="preserve"> address</w:t>
        </w:r>
        <w:r>
          <w:rPr>
            <w:rFonts w:cstheme="minorHAnsi"/>
            <w:bCs w:val="0"/>
          </w:rPr>
          <w:tab/>
        </w:r>
        <w:r>
          <w:rPr>
            <w:rFonts w:cstheme="minorHAnsi"/>
            <w:b w:val="0"/>
            <w:bCs w:val="0"/>
          </w:rPr>
          <w:t>Lo</w:t>
        </w:r>
        <w:r w:rsidRPr="00A91E80">
          <w:rPr>
            <w:rFonts w:cstheme="minorHAnsi"/>
            <w:b w:val="0"/>
            <w:bCs w:val="0"/>
          </w:rPr>
          <w:t>rentzweg 1</w:t>
        </w:r>
        <w:r w:rsidRPr="00F764D3">
          <w:rPr>
            <w:rFonts w:eastAsia="MS Mincho" w:cs="MS Mincho"/>
            <w:b w:val="0"/>
            <w:bCs w:val="0"/>
            <w:lang w:val="en-US"/>
          </w:rPr>
          <w:t>,</w:t>
        </w:r>
        <w:r>
          <w:rPr>
            <w:rFonts w:eastAsia="MS Mincho" w:cs="MS Mincho"/>
            <w:b w:val="0"/>
            <w:bCs w:val="0"/>
            <w:lang w:val="en-US"/>
          </w:rPr>
          <w:t xml:space="preserve"> </w:t>
        </w:r>
        <w:r w:rsidRPr="00A91E80">
          <w:rPr>
            <w:rFonts w:cstheme="minorHAnsi"/>
            <w:b w:val="0"/>
            <w:bCs w:val="0"/>
          </w:rPr>
          <w:t>room A208</w:t>
        </w:r>
        <w:r>
          <w:rPr>
            <w:rFonts w:cstheme="minorHAnsi"/>
            <w:b w:val="0"/>
            <w:bCs w:val="0"/>
          </w:rPr>
          <w:t xml:space="preserve">  </w:t>
        </w:r>
        <w:r>
          <w:rPr>
            <w:rFonts w:eastAsia="MS Mincho" w:cs="MS Mincho"/>
            <w:b w:val="0"/>
            <w:bCs w:val="0"/>
            <w:lang w:val="en-US"/>
          </w:rPr>
          <w:t>2</w:t>
        </w:r>
        <w:r w:rsidRPr="00F764D3">
          <w:rPr>
            <w:rFonts w:cstheme="minorHAnsi"/>
            <w:b w:val="0"/>
            <w:bCs w:val="0"/>
          </w:rPr>
          <w:t>628</w:t>
        </w:r>
        <w:r w:rsidRPr="00A91E80">
          <w:rPr>
            <w:rFonts w:cstheme="minorHAnsi"/>
            <w:b w:val="0"/>
            <w:bCs w:val="0"/>
          </w:rPr>
          <w:t xml:space="preserve"> CJ</w:t>
        </w:r>
        <w:r>
          <w:rPr>
            <w:rFonts w:cstheme="minorHAnsi"/>
            <w:b w:val="0"/>
            <w:bCs w:val="0"/>
          </w:rPr>
          <w:t xml:space="preserve">  </w:t>
        </w:r>
        <w:r w:rsidRPr="00A91E80">
          <w:rPr>
            <w:rFonts w:cstheme="minorHAnsi"/>
            <w:b w:val="0"/>
            <w:bCs w:val="0"/>
          </w:rPr>
          <w:t>Delft</w:t>
        </w:r>
      </w:p>
      <w:p w:rsidR="008D755E" w:rsidRPr="00EB2D2C" w:rsidRDefault="00EB2D2C" w:rsidP="00EB2D2C">
        <w:pPr>
          <w:pStyle w:val="BodyText"/>
          <w:tabs>
            <w:tab w:val="left" w:pos="3119"/>
            <w:tab w:val="left" w:pos="3686"/>
            <w:tab w:val="left" w:pos="5245"/>
            <w:tab w:val="left" w:pos="5387"/>
          </w:tabs>
          <w:ind w:left="490"/>
          <w:rPr>
            <w:rFonts w:cstheme="minorHAnsi"/>
            <w:b w:val="0"/>
            <w:bCs w:val="0"/>
          </w:rPr>
        </w:pPr>
        <w:r>
          <w:rPr>
            <w:rFonts w:cstheme="minorHAnsi"/>
            <w:bCs w:val="0"/>
          </w:rPr>
          <w:t xml:space="preserve"> </w:t>
        </w:r>
        <w:r w:rsidRPr="00A91E80">
          <w:rPr>
            <w:rFonts w:cstheme="minorHAnsi"/>
            <w:bCs w:val="0"/>
          </w:rPr>
          <w:t>T</w:t>
        </w:r>
        <w:r>
          <w:rPr>
            <w:rFonts w:cstheme="minorHAnsi"/>
            <w:b w:val="0"/>
            <w:bCs w:val="0"/>
          </w:rPr>
          <w:t xml:space="preserve">: 015 – 278 3253                          </w:t>
        </w:r>
        <w:r>
          <w:rPr>
            <w:rFonts w:cstheme="minorHAnsi"/>
            <w:b w:val="0"/>
            <w:bCs w:val="0"/>
          </w:rPr>
          <w:tab/>
        </w:r>
        <w:r w:rsidRPr="00F764D3">
          <w:rPr>
            <w:rFonts w:cstheme="minorHAnsi"/>
            <w:bCs w:val="0"/>
          </w:rPr>
          <w:t>Mailing address</w:t>
        </w:r>
        <w:r>
          <w:rPr>
            <w:rFonts w:cstheme="minorHAnsi"/>
            <w:bCs w:val="0"/>
          </w:rPr>
          <w:t xml:space="preserve"> </w:t>
        </w:r>
        <w:r>
          <w:rPr>
            <w:rFonts w:cstheme="minorHAnsi"/>
            <w:bCs w:val="0"/>
          </w:rPr>
          <w:tab/>
        </w:r>
        <w:r w:rsidRPr="00A91E80">
          <w:rPr>
            <w:rFonts w:cstheme="minorHAnsi"/>
            <w:b w:val="0"/>
            <w:bCs w:val="0"/>
          </w:rPr>
          <w:t>P.O. Box 5046</w:t>
        </w:r>
        <w:r>
          <w:rPr>
            <w:rFonts w:cstheme="minorHAnsi"/>
            <w:b w:val="0"/>
            <w:bCs w:val="0"/>
          </w:rPr>
          <w:t xml:space="preserve">  </w:t>
        </w:r>
        <w:r w:rsidRPr="000D7223">
          <w:rPr>
            <w:rFonts w:cstheme="minorHAnsi"/>
            <w:b w:val="0"/>
            <w:bCs w:val="0"/>
          </w:rPr>
          <w:t>2600 GA  Delft</w:t>
        </w:r>
      </w:p>
    </w:sdtContent>
  </w:sdt>
  <w:p w:rsidR="008D755E" w:rsidRDefault="008D7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5E" w:rsidRDefault="008D755E" w:rsidP="00D24B0E">
      <w:r>
        <w:separator/>
      </w:r>
    </w:p>
  </w:footnote>
  <w:footnote w:type="continuationSeparator" w:id="0">
    <w:p w:rsidR="008D755E" w:rsidRDefault="008D755E" w:rsidP="00D2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61B57DD"/>
    <w:multiLevelType w:val="hybridMultilevel"/>
    <w:tmpl w:val="FC62C3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D32DB"/>
    <w:multiLevelType w:val="hybridMultilevel"/>
    <w:tmpl w:val="870E98A2"/>
    <w:lvl w:ilvl="0" w:tplc="F9D86448">
      <w:start w:val="21"/>
      <w:numFmt w:val="bullet"/>
      <w:lvlText w:val=""/>
      <w:lvlJc w:val="left"/>
      <w:pPr>
        <w:tabs>
          <w:tab w:val="num" w:pos="350"/>
        </w:tabs>
        <w:ind w:left="350" w:hanging="360"/>
      </w:pPr>
      <w:rPr>
        <w:rFonts w:ascii="Wingdings" w:eastAsia="Times New Roman" w:hAnsi="Wingdings"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453572E"/>
    <w:multiLevelType w:val="hybridMultilevel"/>
    <w:tmpl w:val="B0261A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68A0613"/>
    <w:multiLevelType w:val="hybridMultilevel"/>
    <w:tmpl w:val="50DC831A"/>
    <w:lvl w:ilvl="0" w:tplc="917E2E86">
      <w:start w:val="1"/>
      <w:numFmt w:val="decimal"/>
      <w:lvlText w:val="%1."/>
      <w:lvlJc w:val="left"/>
      <w:pPr>
        <w:tabs>
          <w:tab w:val="num" w:pos="1080"/>
        </w:tabs>
        <w:ind w:left="108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8963B02"/>
    <w:multiLevelType w:val="hybridMultilevel"/>
    <w:tmpl w:val="624ED77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60137282"/>
    <w:multiLevelType w:val="hybridMultilevel"/>
    <w:tmpl w:val="C0B43780"/>
    <w:lvl w:ilvl="0" w:tplc="BC70C00A">
      <w:start w:val="8"/>
      <w:numFmt w:val="bullet"/>
      <w:lvlText w:val=""/>
      <w:lvlJc w:val="left"/>
      <w:pPr>
        <w:ind w:left="1080" w:hanging="360"/>
      </w:pPr>
      <w:rPr>
        <w:rFonts w:ascii="Wingdings" w:eastAsia="Calibri" w:hAnsi="Wingdings"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
    <w:nsid w:val="60E9255C"/>
    <w:multiLevelType w:val="hybridMultilevel"/>
    <w:tmpl w:val="FC364434"/>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683B6556"/>
    <w:multiLevelType w:val="hybridMultilevel"/>
    <w:tmpl w:val="24D8FF16"/>
    <w:lvl w:ilvl="0" w:tplc="876CD06C">
      <w:start w:val="1"/>
      <w:numFmt w:val="upperRoman"/>
      <w:lvlText w:val="%1."/>
      <w:lvlJc w:val="left"/>
      <w:pPr>
        <w:tabs>
          <w:tab w:val="num" w:pos="180"/>
        </w:tabs>
        <w:ind w:left="180" w:hanging="180"/>
      </w:pPr>
      <w:rPr>
        <w:rFonts w:hint="default"/>
      </w:rPr>
    </w:lvl>
    <w:lvl w:ilvl="1" w:tplc="917E2E86">
      <w:start w:val="1"/>
      <w:numFmt w:val="decimal"/>
      <w:lvlText w:val="%2."/>
      <w:lvlJc w:val="left"/>
      <w:pPr>
        <w:tabs>
          <w:tab w:val="num" w:pos="1080"/>
        </w:tabs>
        <w:ind w:left="1080" w:hanging="360"/>
      </w:pPr>
      <w:rPr>
        <w:rFonts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6EC4344F"/>
    <w:multiLevelType w:val="hybridMultilevel"/>
    <w:tmpl w:val="0BD2F2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F0D7A18"/>
    <w:multiLevelType w:val="hybridMultilevel"/>
    <w:tmpl w:val="2AE628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6"/>
  </w:num>
  <w:num w:numId="4">
    <w:abstractNumId w:val="2"/>
  </w:num>
  <w:num w:numId="5">
    <w:abstractNumId w:val="9"/>
  </w:num>
  <w:num w:numId="6">
    <w:abstractNumId w:val="7"/>
  </w:num>
  <w:num w:numId="7">
    <w:abstractNumId w:val="3"/>
  </w:num>
  <w:num w:numId="8">
    <w:abstractNumId w:val="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E1"/>
    <w:rsid w:val="00025883"/>
    <w:rsid w:val="0002610A"/>
    <w:rsid w:val="000355A7"/>
    <w:rsid w:val="0003795D"/>
    <w:rsid w:val="00046FE2"/>
    <w:rsid w:val="0006223F"/>
    <w:rsid w:val="00085DFB"/>
    <w:rsid w:val="000927A4"/>
    <w:rsid w:val="000B1758"/>
    <w:rsid w:val="000B7444"/>
    <w:rsid w:val="000E656E"/>
    <w:rsid w:val="0012546C"/>
    <w:rsid w:val="001321B4"/>
    <w:rsid w:val="0014578B"/>
    <w:rsid w:val="00156978"/>
    <w:rsid w:val="0018063E"/>
    <w:rsid w:val="001851A7"/>
    <w:rsid w:val="001F5A16"/>
    <w:rsid w:val="00241C69"/>
    <w:rsid w:val="0027034F"/>
    <w:rsid w:val="00281C36"/>
    <w:rsid w:val="0028452B"/>
    <w:rsid w:val="002A0301"/>
    <w:rsid w:val="002A7647"/>
    <w:rsid w:val="002C0742"/>
    <w:rsid w:val="00311096"/>
    <w:rsid w:val="00314DCE"/>
    <w:rsid w:val="003152ED"/>
    <w:rsid w:val="0031605F"/>
    <w:rsid w:val="00321659"/>
    <w:rsid w:val="00353E37"/>
    <w:rsid w:val="003724C9"/>
    <w:rsid w:val="00387BA5"/>
    <w:rsid w:val="003A0613"/>
    <w:rsid w:val="003A1610"/>
    <w:rsid w:val="003C0B66"/>
    <w:rsid w:val="003D79FA"/>
    <w:rsid w:val="003E0A47"/>
    <w:rsid w:val="00403077"/>
    <w:rsid w:val="004246F5"/>
    <w:rsid w:val="004329A9"/>
    <w:rsid w:val="00442A93"/>
    <w:rsid w:val="004603F6"/>
    <w:rsid w:val="00460D99"/>
    <w:rsid w:val="00472184"/>
    <w:rsid w:val="00481C5F"/>
    <w:rsid w:val="004A50BF"/>
    <w:rsid w:val="004C3D18"/>
    <w:rsid w:val="005255E4"/>
    <w:rsid w:val="00540890"/>
    <w:rsid w:val="00545ACC"/>
    <w:rsid w:val="00561F64"/>
    <w:rsid w:val="005653B2"/>
    <w:rsid w:val="0057508F"/>
    <w:rsid w:val="00583679"/>
    <w:rsid w:val="00586BEF"/>
    <w:rsid w:val="005A1CAB"/>
    <w:rsid w:val="005C1EFE"/>
    <w:rsid w:val="005E40E5"/>
    <w:rsid w:val="006118FC"/>
    <w:rsid w:val="0061367A"/>
    <w:rsid w:val="0067180F"/>
    <w:rsid w:val="00695493"/>
    <w:rsid w:val="006B1F7B"/>
    <w:rsid w:val="006E0DD3"/>
    <w:rsid w:val="00705627"/>
    <w:rsid w:val="007077B6"/>
    <w:rsid w:val="00733D78"/>
    <w:rsid w:val="0074757F"/>
    <w:rsid w:val="00755B61"/>
    <w:rsid w:val="007743AF"/>
    <w:rsid w:val="00785F61"/>
    <w:rsid w:val="007938DE"/>
    <w:rsid w:val="007A03D1"/>
    <w:rsid w:val="007F4709"/>
    <w:rsid w:val="007F544B"/>
    <w:rsid w:val="00810680"/>
    <w:rsid w:val="00835D8D"/>
    <w:rsid w:val="00837AA9"/>
    <w:rsid w:val="00844FBF"/>
    <w:rsid w:val="00856348"/>
    <w:rsid w:val="00857D1D"/>
    <w:rsid w:val="008651DD"/>
    <w:rsid w:val="0087639B"/>
    <w:rsid w:val="008D755E"/>
    <w:rsid w:val="008F4EFB"/>
    <w:rsid w:val="009253C8"/>
    <w:rsid w:val="0093746E"/>
    <w:rsid w:val="009439EF"/>
    <w:rsid w:val="00951A15"/>
    <w:rsid w:val="00994C04"/>
    <w:rsid w:val="009A466E"/>
    <w:rsid w:val="009B676C"/>
    <w:rsid w:val="009D2A16"/>
    <w:rsid w:val="009E1C01"/>
    <w:rsid w:val="009E5760"/>
    <w:rsid w:val="009F6BC5"/>
    <w:rsid w:val="00A02BFC"/>
    <w:rsid w:val="00A1429A"/>
    <w:rsid w:val="00A15C8D"/>
    <w:rsid w:val="00A25D55"/>
    <w:rsid w:val="00A33A61"/>
    <w:rsid w:val="00A47A1D"/>
    <w:rsid w:val="00A53742"/>
    <w:rsid w:val="00A66A16"/>
    <w:rsid w:val="00A727A4"/>
    <w:rsid w:val="00A81456"/>
    <w:rsid w:val="00A84F66"/>
    <w:rsid w:val="00AC25C2"/>
    <w:rsid w:val="00AD576D"/>
    <w:rsid w:val="00AF6CF0"/>
    <w:rsid w:val="00B349BC"/>
    <w:rsid w:val="00B34A79"/>
    <w:rsid w:val="00B3585D"/>
    <w:rsid w:val="00B51AA9"/>
    <w:rsid w:val="00B86DE6"/>
    <w:rsid w:val="00BB1AAC"/>
    <w:rsid w:val="00BC034D"/>
    <w:rsid w:val="00C032B9"/>
    <w:rsid w:val="00C33E16"/>
    <w:rsid w:val="00C34496"/>
    <w:rsid w:val="00C44A1F"/>
    <w:rsid w:val="00C542B3"/>
    <w:rsid w:val="00C62BE1"/>
    <w:rsid w:val="00C7456F"/>
    <w:rsid w:val="00C85CAA"/>
    <w:rsid w:val="00CD0D39"/>
    <w:rsid w:val="00CD7A03"/>
    <w:rsid w:val="00D0150B"/>
    <w:rsid w:val="00D04019"/>
    <w:rsid w:val="00D24B0E"/>
    <w:rsid w:val="00D25926"/>
    <w:rsid w:val="00D37281"/>
    <w:rsid w:val="00D37FF8"/>
    <w:rsid w:val="00D85283"/>
    <w:rsid w:val="00D94BC1"/>
    <w:rsid w:val="00D97162"/>
    <w:rsid w:val="00DB2E68"/>
    <w:rsid w:val="00DB638A"/>
    <w:rsid w:val="00DD606D"/>
    <w:rsid w:val="00DE0398"/>
    <w:rsid w:val="00DE2802"/>
    <w:rsid w:val="00DE7701"/>
    <w:rsid w:val="00E3214A"/>
    <w:rsid w:val="00E36DB8"/>
    <w:rsid w:val="00E771D6"/>
    <w:rsid w:val="00E812FF"/>
    <w:rsid w:val="00EB2D2C"/>
    <w:rsid w:val="00ED04A9"/>
    <w:rsid w:val="00ED1271"/>
    <w:rsid w:val="00F2357D"/>
    <w:rsid w:val="00F43BF3"/>
    <w:rsid w:val="00F66A61"/>
    <w:rsid w:val="00F82073"/>
    <w:rsid w:val="00F85D43"/>
    <w:rsid w:val="00F87BD0"/>
    <w:rsid w:val="00FB35FF"/>
    <w:rsid w:val="00FD20EF"/>
    <w:rsid w:val="00FE3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62BE1"/>
    <w:rPr>
      <w:color w:val="0000FF"/>
      <w:u w:val="single"/>
    </w:rPr>
  </w:style>
  <w:style w:type="paragraph" w:styleId="ListParagraph">
    <w:name w:val="List Paragraph"/>
    <w:basedOn w:val="Normal"/>
    <w:uiPriority w:val="34"/>
    <w:qFormat/>
    <w:rsid w:val="00C62BE1"/>
    <w:pPr>
      <w:ind w:left="720"/>
    </w:pPr>
    <w:rPr>
      <w:rFonts w:eastAsiaTheme="minorHAnsi"/>
      <w:lang w:val="nl-NL" w:eastAsia="nl-NL"/>
    </w:rPr>
  </w:style>
  <w:style w:type="table" w:styleId="TableGrid">
    <w:name w:val="Table Grid"/>
    <w:basedOn w:val="TableNormal"/>
    <w:rsid w:val="00046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34A79"/>
    <w:rPr>
      <w:color w:val="800080" w:themeColor="followedHyperlink"/>
      <w:u w:val="single"/>
    </w:rPr>
  </w:style>
  <w:style w:type="table" w:styleId="LightShading-Accent1">
    <w:name w:val="Light Shading Accent 1"/>
    <w:basedOn w:val="TableNormal"/>
    <w:uiPriority w:val="60"/>
    <w:rsid w:val="00561F6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rsid w:val="00561F64"/>
    <w:rPr>
      <w:rFonts w:ascii="Tahoma" w:hAnsi="Tahoma" w:cs="Tahoma"/>
      <w:sz w:val="16"/>
      <w:szCs w:val="16"/>
    </w:rPr>
  </w:style>
  <w:style w:type="character" w:customStyle="1" w:styleId="BalloonTextChar">
    <w:name w:val="Balloon Text Char"/>
    <w:basedOn w:val="DefaultParagraphFont"/>
    <w:link w:val="BalloonText"/>
    <w:rsid w:val="00561F64"/>
    <w:rPr>
      <w:rFonts w:ascii="Tahoma" w:hAnsi="Tahoma" w:cs="Tahoma"/>
      <w:sz w:val="16"/>
      <w:szCs w:val="16"/>
      <w:lang w:val="en-US" w:eastAsia="en-US"/>
    </w:rPr>
  </w:style>
  <w:style w:type="character" w:customStyle="1" w:styleId="label1">
    <w:name w:val="label1"/>
    <w:rsid w:val="000E656E"/>
    <w:rPr>
      <w:b/>
      <w:bCs/>
    </w:rPr>
  </w:style>
  <w:style w:type="table" w:styleId="LightShading-Accent3">
    <w:name w:val="Light Shading Accent 3"/>
    <w:basedOn w:val="TableNormal"/>
    <w:uiPriority w:val="60"/>
    <w:rsid w:val="00DB2E6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1">
    <w:name w:val="Light List Accent 1"/>
    <w:basedOn w:val="TableNormal"/>
    <w:uiPriority w:val="61"/>
    <w:rsid w:val="0003795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03795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3795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3795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rsid w:val="00D24B0E"/>
    <w:pPr>
      <w:tabs>
        <w:tab w:val="center" w:pos="4536"/>
        <w:tab w:val="right" w:pos="9072"/>
      </w:tabs>
    </w:pPr>
  </w:style>
  <w:style w:type="character" w:customStyle="1" w:styleId="HeaderChar">
    <w:name w:val="Header Char"/>
    <w:basedOn w:val="DefaultParagraphFont"/>
    <w:link w:val="Header"/>
    <w:uiPriority w:val="99"/>
    <w:rsid w:val="00D24B0E"/>
    <w:rPr>
      <w:sz w:val="24"/>
      <w:szCs w:val="24"/>
      <w:lang w:val="en-US" w:eastAsia="en-US"/>
    </w:rPr>
  </w:style>
  <w:style w:type="paragraph" w:styleId="Footer">
    <w:name w:val="footer"/>
    <w:basedOn w:val="Normal"/>
    <w:link w:val="FooterChar"/>
    <w:uiPriority w:val="99"/>
    <w:rsid w:val="00D24B0E"/>
    <w:pPr>
      <w:tabs>
        <w:tab w:val="center" w:pos="4536"/>
        <w:tab w:val="right" w:pos="9072"/>
      </w:tabs>
    </w:pPr>
  </w:style>
  <w:style w:type="character" w:customStyle="1" w:styleId="FooterChar">
    <w:name w:val="Footer Char"/>
    <w:basedOn w:val="DefaultParagraphFont"/>
    <w:link w:val="Footer"/>
    <w:uiPriority w:val="99"/>
    <w:rsid w:val="00D24B0E"/>
    <w:rPr>
      <w:sz w:val="24"/>
      <w:szCs w:val="24"/>
      <w:lang w:val="en-US" w:eastAsia="en-US"/>
    </w:rPr>
  </w:style>
  <w:style w:type="paragraph" w:styleId="BodyText">
    <w:name w:val="Body Text"/>
    <w:basedOn w:val="Normal"/>
    <w:link w:val="BodyTextChar"/>
    <w:rsid w:val="00EB2D2C"/>
    <w:rPr>
      <w:rFonts w:ascii="Tahoma" w:hAnsi="Tahoma" w:cs="Tahoma"/>
      <w:b/>
      <w:bCs/>
      <w:sz w:val="18"/>
      <w:lang w:val="en-GB"/>
    </w:rPr>
  </w:style>
  <w:style w:type="character" w:customStyle="1" w:styleId="BodyTextChar">
    <w:name w:val="Body Text Char"/>
    <w:basedOn w:val="DefaultParagraphFont"/>
    <w:link w:val="BodyText"/>
    <w:rsid w:val="00EB2D2C"/>
    <w:rPr>
      <w:rFonts w:ascii="Tahoma" w:hAnsi="Tahoma" w:cs="Tahoma"/>
      <w:b/>
      <w:bCs/>
      <w:sz w:val="1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62BE1"/>
    <w:rPr>
      <w:color w:val="0000FF"/>
      <w:u w:val="single"/>
    </w:rPr>
  </w:style>
  <w:style w:type="paragraph" w:styleId="ListParagraph">
    <w:name w:val="List Paragraph"/>
    <w:basedOn w:val="Normal"/>
    <w:uiPriority w:val="34"/>
    <w:qFormat/>
    <w:rsid w:val="00C62BE1"/>
    <w:pPr>
      <w:ind w:left="720"/>
    </w:pPr>
    <w:rPr>
      <w:rFonts w:eastAsiaTheme="minorHAnsi"/>
      <w:lang w:val="nl-NL" w:eastAsia="nl-NL"/>
    </w:rPr>
  </w:style>
  <w:style w:type="table" w:styleId="TableGrid">
    <w:name w:val="Table Grid"/>
    <w:basedOn w:val="TableNormal"/>
    <w:rsid w:val="00046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34A79"/>
    <w:rPr>
      <w:color w:val="800080" w:themeColor="followedHyperlink"/>
      <w:u w:val="single"/>
    </w:rPr>
  </w:style>
  <w:style w:type="table" w:styleId="LightShading-Accent1">
    <w:name w:val="Light Shading Accent 1"/>
    <w:basedOn w:val="TableNormal"/>
    <w:uiPriority w:val="60"/>
    <w:rsid w:val="00561F6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rsid w:val="00561F64"/>
    <w:rPr>
      <w:rFonts w:ascii="Tahoma" w:hAnsi="Tahoma" w:cs="Tahoma"/>
      <w:sz w:val="16"/>
      <w:szCs w:val="16"/>
    </w:rPr>
  </w:style>
  <w:style w:type="character" w:customStyle="1" w:styleId="BalloonTextChar">
    <w:name w:val="Balloon Text Char"/>
    <w:basedOn w:val="DefaultParagraphFont"/>
    <w:link w:val="BalloonText"/>
    <w:rsid w:val="00561F64"/>
    <w:rPr>
      <w:rFonts w:ascii="Tahoma" w:hAnsi="Tahoma" w:cs="Tahoma"/>
      <w:sz w:val="16"/>
      <w:szCs w:val="16"/>
      <w:lang w:val="en-US" w:eastAsia="en-US"/>
    </w:rPr>
  </w:style>
  <w:style w:type="character" w:customStyle="1" w:styleId="label1">
    <w:name w:val="label1"/>
    <w:rsid w:val="000E656E"/>
    <w:rPr>
      <w:b/>
      <w:bCs/>
    </w:rPr>
  </w:style>
  <w:style w:type="table" w:styleId="LightShading-Accent3">
    <w:name w:val="Light Shading Accent 3"/>
    <w:basedOn w:val="TableNormal"/>
    <w:uiPriority w:val="60"/>
    <w:rsid w:val="00DB2E6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1">
    <w:name w:val="Light List Accent 1"/>
    <w:basedOn w:val="TableNormal"/>
    <w:uiPriority w:val="61"/>
    <w:rsid w:val="0003795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03795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3795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3795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rsid w:val="00D24B0E"/>
    <w:pPr>
      <w:tabs>
        <w:tab w:val="center" w:pos="4536"/>
        <w:tab w:val="right" w:pos="9072"/>
      </w:tabs>
    </w:pPr>
  </w:style>
  <w:style w:type="character" w:customStyle="1" w:styleId="HeaderChar">
    <w:name w:val="Header Char"/>
    <w:basedOn w:val="DefaultParagraphFont"/>
    <w:link w:val="Header"/>
    <w:uiPriority w:val="99"/>
    <w:rsid w:val="00D24B0E"/>
    <w:rPr>
      <w:sz w:val="24"/>
      <w:szCs w:val="24"/>
      <w:lang w:val="en-US" w:eastAsia="en-US"/>
    </w:rPr>
  </w:style>
  <w:style w:type="paragraph" w:styleId="Footer">
    <w:name w:val="footer"/>
    <w:basedOn w:val="Normal"/>
    <w:link w:val="FooterChar"/>
    <w:uiPriority w:val="99"/>
    <w:rsid w:val="00D24B0E"/>
    <w:pPr>
      <w:tabs>
        <w:tab w:val="center" w:pos="4536"/>
        <w:tab w:val="right" w:pos="9072"/>
      </w:tabs>
    </w:pPr>
  </w:style>
  <w:style w:type="character" w:customStyle="1" w:styleId="FooterChar">
    <w:name w:val="Footer Char"/>
    <w:basedOn w:val="DefaultParagraphFont"/>
    <w:link w:val="Footer"/>
    <w:uiPriority w:val="99"/>
    <w:rsid w:val="00D24B0E"/>
    <w:rPr>
      <w:sz w:val="24"/>
      <w:szCs w:val="24"/>
      <w:lang w:val="en-US" w:eastAsia="en-US"/>
    </w:rPr>
  </w:style>
  <w:style w:type="paragraph" w:styleId="BodyText">
    <w:name w:val="Body Text"/>
    <w:basedOn w:val="Normal"/>
    <w:link w:val="BodyTextChar"/>
    <w:rsid w:val="00EB2D2C"/>
    <w:rPr>
      <w:rFonts w:ascii="Tahoma" w:hAnsi="Tahoma" w:cs="Tahoma"/>
      <w:b/>
      <w:bCs/>
      <w:sz w:val="18"/>
      <w:lang w:val="en-GB"/>
    </w:rPr>
  </w:style>
  <w:style w:type="character" w:customStyle="1" w:styleId="BodyTextChar">
    <w:name w:val="Body Text Char"/>
    <w:basedOn w:val="DefaultParagraphFont"/>
    <w:link w:val="BodyText"/>
    <w:rsid w:val="00EB2D2C"/>
    <w:rPr>
      <w:rFonts w:ascii="Tahoma" w:hAnsi="Tahoma" w:cs="Tahoma"/>
      <w:b/>
      <w:bCs/>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29944">
      <w:bodyDiv w:val="1"/>
      <w:marLeft w:val="0"/>
      <w:marRight w:val="0"/>
      <w:marTop w:val="0"/>
      <w:marBottom w:val="0"/>
      <w:divBdr>
        <w:top w:val="none" w:sz="0" w:space="0" w:color="auto"/>
        <w:left w:val="none" w:sz="0" w:space="0" w:color="auto"/>
        <w:bottom w:val="none" w:sz="0" w:space="0" w:color="auto"/>
        <w:right w:val="none" w:sz="0" w:space="0" w:color="auto"/>
      </w:divBdr>
    </w:div>
    <w:div w:id="556475824">
      <w:bodyDiv w:val="1"/>
      <w:marLeft w:val="0"/>
      <w:marRight w:val="0"/>
      <w:marTop w:val="0"/>
      <w:marBottom w:val="0"/>
      <w:divBdr>
        <w:top w:val="none" w:sz="0" w:space="0" w:color="auto"/>
        <w:left w:val="none" w:sz="0" w:space="0" w:color="auto"/>
        <w:bottom w:val="none" w:sz="0" w:space="0" w:color="auto"/>
        <w:right w:val="none" w:sz="0" w:space="0" w:color="auto"/>
      </w:divBdr>
    </w:div>
    <w:div w:id="584190791">
      <w:bodyDiv w:val="1"/>
      <w:marLeft w:val="0"/>
      <w:marRight w:val="0"/>
      <w:marTop w:val="0"/>
      <w:marBottom w:val="0"/>
      <w:divBdr>
        <w:top w:val="none" w:sz="0" w:space="0" w:color="auto"/>
        <w:left w:val="none" w:sz="0" w:space="0" w:color="auto"/>
        <w:bottom w:val="none" w:sz="0" w:space="0" w:color="auto"/>
        <w:right w:val="none" w:sz="0" w:space="0" w:color="auto"/>
      </w:divBdr>
    </w:div>
    <w:div w:id="769350661">
      <w:bodyDiv w:val="1"/>
      <w:marLeft w:val="0"/>
      <w:marRight w:val="0"/>
      <w:marTop w:val="0"/>
      <w:marBottom w:val="0"/>
      <w:divBdr>
        <w:top w:val="none" w:sz="0" w:space="0" w:color="auto"/>
        <w:left w:val="none" w:sz="0" w:space="0" w:color="auto"/>
        <w:bottom w:val="none" w:sz="0" w:space="0" w:color="auto"/>
        <w:right w:val="none" w:sz="0" w:space="0" w:color="auto"/>
      </w:divBdr>
      <w:divsChild>
        <w:div w:id="1008218103">
          <w:marLeft w:val="0"/>
          <w:marRight w:val="0"/>
          <w:marTop w:val="0"/>
          <w:marBottom w:val="0"/>
          <w:divBdr>
            <w:top w:val="none" w:sz="0" w:space="0" w:color="auto"/>
            <w:left w:val="none" w:sz="0" w:space="0" w:color="auto"/>
            <w:bottom w:val="none" w:sz="0" w:space="0" w:color="auto"/>
            <w:right w:val="none" w:sz="0" w:space="0" w:color="auto"/>
          </w:divBdr>
          <w:divsChild>
            <w:div w:id="2140151488">
              <w:marLeft w:val="0"/>
              <w:marRight w:val="0"/>
              <w:marTop w:val="0"/>
              <w:marBottom w:val="0"/>
              <w:divBdr>
                <w:top w:val="none" w:sz="0" w:space="0" w:color="auto"/>
                <w:left w:val="none" w:sz="0" w:space="0" w:color="auto"/>
                <w:bottom w:val="none" w:sz="0" w:space="0" w:color="auto"/>
                <w:right w:val="none" w:sz="0" w:space="0" w:color="auto"/>
              </w:divBdr>
              <w:divsChild>
                <w:div w:id="1108961347">
                  <w:marLeft w:val="0"/>
                  <w:marRight w:val="0"/>
                  <w:marTop w:val="0"/>
                  <w:marBottom w:val="0"/>
                  <w:divBdr>
                    <w:top w:val="none" w:sz="0" w:space="0" w:color="auto"/>
                    <w:left w:val="none" w:sz="0" w:space="0" w:color="auto"/>
                    <w:bottom w:val="none" w:sz="0" w:space="0" w:color="auto"/>
                    <w:right w:val="none" w:sz="0" w:space="0" w:color="auto"/>
                  </w:divBdr>
                  <w:divsChild>
                    <w:div w:id="817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7425">
      <w:bodyDiv w:val="1"/>
      <w:marLeft w:val="0"/>
      <w:marRight w:val="0"/>
      <w:marTop w:val="0"/>
      <w:marBottom w:val="0"/>
      <w:divBdr>
        <w:top w:val="none" w:sz="0" w:space="0" w:color="auto"/>
        <w:left w:val="none" w:sz="0" w:space="0" w:color="auto"/>
        <w:bottom w:val="none" w:sz="0" w:space="0" w:color="auto"/>
        <w:right w:val="none" w:sz="0" w:space="0" w:color="auto"/>
      </w:divBdr>
    </w:div>
    <w:div w:id="838539728">
      <w:bodyDiv w:val="1"/>
      <w:marLeft w:val="0"/>
      <w:marRight w:val="0"/>
      <w:marTop w:val="0"/>
      <w:marBottom w:val="0"/>
      <w:divBdr>
        <w:top w:val="none" w:sz="0" w:space="0" w:color="auto"/>
        <w:left w:val="none" w:sz="0" w:space="0" w:color="auto"/>
        <w:bottom w:val="none" w:sz="0" w:space="0" w:color="auto"/>
        <w:right w:val="none" w:sz="0" w:space="0" w:color="auto"/>
      </w:divBdr>
    </w:div>
    <w:div w:id="992179369">
      <w:bodyDiv w:val="1"/>
      <w:marLeft w:val="0"/>
      <w:marRight w:val="0"/>
      <w:marTop w:val="0"/>
      <w:marBottom w:val="0"/>
      <w:divBdr>
        <w:top w:val="none" w:sz="0" w:space="0" w:color="auto"/>
        <w:left w:val="none" w:sz="0" w:space="0" w:color="auto"/>
        <w:bottom w:val="none" w:sz="0" w:space="0" w:color="auto"/>
        <w:right w:val="none" w:sz="0" w:space="0" w:color="auto"/>
      </w:divBdr>
    </w:div>
    <w:div w:id="1476919644">
      <w:bodyDiv w:val="1"/>
      <w:marLeft w:val="0"/>
      <w:marRight w:val="0"/>
      <w:marTop w:val="0"/>
      <w:marBottom w:val="0"/>
      <w:divBdr>
        <w:top w:val="none" w:sz="0" w:space="0" w:color="auto"/>
        <w:left w:val="none" w:sz="0" w:space="0" w:color="auto"/>
        <w:bottom w:val="none" w:sz="0" w:space="0" w:color="auto"/>
        <w:right w:val="none" w:sz="0" w:space="0" w:color="auto"/>
      </w:divBdr>
    </w:div>
    <w:div w:id="1488788017">
      <w:bodyDiv w:val="1"/>
      <w:marLeft w:val="0"/>
      <w:marRight w:val="0"/>
      <w:marTop w:val="0"/>
      <w:marBottom w:val="0"/>
      <w:divBdr>
        <w:top w:val="none" w:sz="0" w:space="0" w:color="auto"/>
        <w:left w:val="none" w:sz="0" w:space="0" w:color="auto"/>
        <w:bottom w:val="none" w:sz="0" w:space="0" w:color="auto"/>
        <w:right w:val="none" w:sz="0" w:space="0" w:color="auto"/>
      </w:divBdr>
    </w:div>
    <w:div w:id="1540435947">
      <w:bodyDiv w:val="1"/>
      <w:marLeft w:val="0"/>
      <w:marRight w:val="0"/>
      <w:marTop w:val="0"/>
      <w:marBottom w:val="0"/>
      <w:divBdr>
        <w:top w:val="none" w:sz="0" w:space="0" w:color="auto"/>
        <w:left w:val="none" w:sz="0" w:space="0" w:color="auto"/>
        <w:bottom w:val="none" w:sz="0" w:space="0" w:color="auto"/>
        <w:right w:val="none" w:sz="0" w:space="0" w:color="auto"/>
      </w:divBdr>
    </w:div>
    <w:div w:id="1571886071">
      <w:bodyDiv w:val="1"/>
      <w:marLeft w:val="0"/>
      <w:marRight w:val="0"/>
      <w:marTop w:val="0"/>
      <w:marBottom w:val="0"/>
      <w:divBdr>
        <w:top w:val="none" w:sz="0" w:space="0" w:color="auto"/>
        <w:left w:val="none" w:sz="0" w:space="0" w:color="auto"/>
        <w:bottom w:val="none" w:sz="0" w:space="0" w:color="auto"/>
        <w:right w:val="none" w:sz="0" w:space="0" w:color="auto"/>
      </w:divBdr>
      <w:divsChild>
        <w:div w:id="880938911">
          <w:marLeft w:val="0"/>
          <w:marRight w:val="0"/>
          <w:marTop w:val="0"/>
          <w:marBottom w:val="0"/>
          <w:divBdr>
            <w:top w:val="none" w:sz="0" w:space="0" w:color="auto"/>
            <w:left w:val="none" w:sz="0" w:space="0" w:color="auto"/>
            <w:bottom w:val="none" w:sz="0" w:space="0" w:color="auto"/>
            <w:right w:val="none" w:sz="0" w:space="0" w:color="auto"/>
          </w:divBdr>
          <w:divsChild>
            <w:div w:id="984043066">
              <w:marLeft w:val="0"/>
              <w:marRight w:val="0"/>
              <w:marTop w:val="0"/>
              <w:marBottom w:val="0"/>
              <w:divBdr>
                <w:top w:val="none" w:sz="0" w:space="0" w:color="auto"/>
                <w:left w:val="none" w:sz="0" w:space="0" w:color="auto"/>
                <w:bottom w:val="none" w:sz="0" w:space="0" w:color="auto"/>
                <w:right w:val="none" w:sz="0" w:space="0" w:color="auto"/>
              </w:divBdr>
              <w:divsChild>
                <w:div w:id="1164007735">
                  <w:marLeft w:val="0"/>
                  <w:marRight w:val="0"/>
                  <w:marTop w:val="0"/>
                  <w:marBottom w:val="0"/>
                  <w:divBdr>
                    <w:top w:val="none" w:sz="0" w:space="0" w:color="auto"/>
                    <w:left w:val="none" w:sz="0" w:space="0" w:color="auto"/>
                    <w:bottom w:val="none" w:sz="0" w:space="0" w:color="auto"/>
                    <w:right w:val="none" w:sz="0" w:space="0" w:color="auto"/>
                  </w:divBdr>
                  <w:divsChild>
                    <w:div w:id="17868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uitenland.tudelft.nl/en/students/study-and-career/studying-or-doing-an-internship-abroad/step-2-making-preparationsarrangements/general-matters-to-be-arranged/verplichte-registratie-contactinformatie/required-registration-of-emergency-contact-informati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5F3F-959D-4D86-B900-869E0EC1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46571F36</Template>
  <TotalTime>19</TotalTime>
  <Pages>3</Pages>
  <Words>1535</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The - TNW</dc:creator>
  <cp:lastModifiedBy>Suzanne Minekus - TNW</cp:lastModifiedBy>
  <cp:revision>7</cp:revision>
  <cp:lastPrinted>2014-04-04T11:48:00Z</cp:lastPrinted>
  <dcterms:created xsi:type="dcterms:W3CDTF">2014-04-04T10:02:00Z</dcterms:created>
  <dcterms:modified xsi:type="dcterms:W3CDTF">2014-04-28T12:02:00Z</dcterms:modified>
</cp:coreProperties>
</file>